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5D179" w14:textId="0587E840" w:rsidR="00AD75E6" w:rsidRPr="00D57A9A" w:rsidRDefault="008B294C" w:rsidP="00D57A9A">
      <w:pPr>
        <w:snapToGrid w:val="0"/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D57A9A">
        <w:rPr>
          <w:rFonts w:ascii="Arial" w:hAnsi="Arial" w:cs="Arial"/>
          <w:b/>
          <w:bCs/>
          <w:sz w:val="22"/>
          <w:szCs w:val="22"/>
        </w:rPr>
        <w:t xml:space="preserve">The 2027 </w:t>
      </w:r>
      <w:r w:rsidR="00F66A47" w:rsidRPr="00D57A9A">
        <w:rPr>
          <w:rFonts w:ascii="Arial" w:hAnsi="Arial" w:cs="Arial"/>
          <w:b/>
          <w:bCs/>
          <w:sz w:val="22"/>
          <w:szCs w:val="22"/>
        </w:rPr>
        <w:t>Global Tax Symposium</w:t>
      </w:r>
      <w:r w:rsidR="00A16B7B" w:rsidRPr="00D57A9A">
        <w:rPr>
          <w:rFonts w:ascii="Arial" w:hAnsi="Arial" w:cs="Arial"/>
          <w:b/>
          <w:bCs/>
          <w:sz w:val="22"/>
          <w:szCs w:val="22"/>
        </w:rPr>
        <w:t>, call for papers</w:t>
      </w:r>
    </w:p>
    <w:p w14:paraId="6BA6EF5D" w14:textId="77777777" w:rsidR="008B294C" w:rsidRPr="00D57A9A" w:rsidRDefault="008B294C" w:rsidP="00D57A9A">
      <w:pPr>
        <w:snapToGrid w:val="0"/>
        <w:spacing w:after="120"/>
        <w:rPr>
          <w:rFonts w:ascii="Arial" w:hAnsi="Arial" w:cs="Arial"/>
          <w:b/>
          <w:bCs/>
          <w:sz w:val="22"/>
          <w:szCs w:val="22"/>
        </w:rPr>
      </w:pPr>
    </w:p>
    <w:p w14:paraId="41C86158" w14:textId="2267EED6" w:rsidR="008B294C" w:rsidRPr="00D57A9A" w:rsidRDefault="008B294C" w:rsidP="00D57A9A">
      <w:pPr>
        <w:snapToGrid w:val="0"/>
        <w:spacing w:after="120"/>
        <w:rPr>
          <w:rFonts w:ascii="Arial" w:hAnsi="Arial" w:cs="Arial"/>
          <w:sz w:val="22"/>
          <w:szCs w:val="22"/>
        </w:rPr>
      </w:pPr>
      <w:r w:rsidRPr="00D57A9A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594E89F" wp14:editId="3A2BD23A">
            <wp:extent cx="5731510" cy="4570095"/>
            <wp:effectExtent l="12700" t="12700" r="8890" b="146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700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9B8C772" w14:textId="77777777" w:rsidR="008B294C" w:rsidRPr="00D57A9A" w:rsidRDefault="008B294C" w:rsidP="00D57A9A">
      <w:pPr>
        <w:snapToGrid w:val="0"/>
        <w:spacing w:after="120"/>
        <w:rPr>
          <w:rFonts w:ascii="Arial" w:hAnsi="Arial" w:cs="Arial"/>
          <w:sz w:val="22"/>
          <w:szCs w:val="22"/>
        </w:rPr>
      </w:pPr>
    </w:p>
    <w:p w14:paraId="13431AA1" w14:textId="0A497469" w:rsidR="00A16B7B" w:rsidRPr="00D57A9A" w:rsidRDefault="00A16B7B" w:rsidP="00D57A9A">
      <w:pPr>
        <w:snapToGrid w:val="0"/>
        <w:spacing w:after="120"/>
        <w:jc w:val="both"/>
        <w:rPr>
          <w:rFonts w:ascii="Arial" w:hAnsi="Arial" w:cs="Arial"/>
          <w:sz w:val="22"/>
          <w:szCs w:val="22"/>
        </w:rPr>
      </w:pPr>
      <w:r w:rsidRPr="00D57A9A">
        <w:rPr>
          <w:rFonts w:ascii="Arial" w:hAnsi="Arial" w:cs="Arial"/>
          <w:sz w:val="22"/>
          <w:szCs w:val="22"/>
        </w:rPr>
        <w:t>The Global Tax Symposia (GTS) are an interdisciplinary research platform on</w:t>
      </w:r>
      <w:r w:rsidR="008B294C" w:rsidRPr="00D57A9A">
        <w:rPr>
          <w:rFonts w:ascii="Arial" w:hAnsi="Arial" w:cs="Arial"/>
          <w:sz w:val="22"/>
          <w:szCs w:val="22"/>
        </w:rPr>
        <w:t xml:space="preserve"> </w:t>
      </w:r>
      <w:r w:rsidRPr="00D57A9A">
        <w:rPr>
          <w:rFonts w:ascii="Arial" w:hAnsi="Arial" w:cs="Arial"/>
          <w:sz w:val="22"/>
          <w:szCs w:val="22"/>
        </w:rPr>
        <w:t>fundamental issues of international and comparative taxation. They bring together</w:t>
      </w:r>
      <w:r w:rsidR="008B294C" w:rsidRPr="00D57A9A">
        <w:rPr>
          <w:rFonts w:ascii="Arial" w:hAnsi="Arial" w:cs="Arial"/>
          <w:sz w:val="22"/>
          <w:szCs w:val="22"/>
        </w:rPr>
        <w:t xml:space="preserve"> </w:t>
      </w:r>
      <w:r w:rsidRPr="00D57A9A">
        <w:rPr>
          <w:rFonts w:ascii="Arial" w:hAnsi="Arial" w:cs="Arial"/>
          <w:sz w:val="22"/>
          <w:szCs w:val="22"/>
        </w:rPr>
        <w:t>researchers and scholars from Africa, America, Asia, Asia-Pacific</w:t>
      </w:r>
      <w:r w:rsidR="00D022DD">
        <w:rPr>
          <w:rFonts w:ascii="Arial" w:hAnsi="Arial" w:cs="Arial"/>
          <w:sz w:val="22"/>
          <w:szCs w:val="22"/>
        </w:rPr>
        <w:t>, and Europe to explore contemporary tax issues shaped by global political, institutional, and economic developments</w:t>
      </w:r>
      <w:r w:rsidRPr="00D57A9A">
        <w:rPr>
          <w:rFonts w:ascii="Arial" w:hAnsi="Arial" w:cs="Arial"/>
          <w:sz w:val="22"/>
          <w:szCs w:val="22"/>
        </w:rPr>
        <w:t xml:space="preserve">. The GTS </w:t>
      </w:r>
      <w:r w:rsidR="00D022DD">
        <w:rPr>
          <w:rFonts w:ascii="Arial" w:hAnsi="Arial" w:cs="Arial"/>
          <w:sz w:val="22"/>
          <w:szCs w:val="22"/>
        </w:rPr>
        <w:t>offers two forums each year for researchers and scholars to discuss</w:t>
      </w:r>
      <w:r w:rsidRPr="00D57A9A">
        <w:rPr>
          <w:rFonts w:ascii="Arial" w:hAnsi="Arial" w:cs="Arial"/>
          <w:sz w:val="22"/>
          <w:szCs w:val="22"/>
        </w:rPr>
        <w:t xml:space="preserve"> cutting-edge issues in tax law and policy. The PhD Global Tax</w:t>
      </w:r>
      <w:r w:rsidR="008B294C" w:rsidRPr="00D57A9A">
        <w:rPr>
          <w:rFonts w:ascii="Arial" w:hAnsi="Arial" w:cs="Arial"/>
          <w:sz w:val="22"/>
          <w:szCs w:val="22"/>
        </w:rPr>
        <w:t xml:space="preserve"> </w:t>
      </w:r>
      <w:r w:rsidRPr="00D57A9A">
        <w:rPr>
          <w:rFonts w:ascii="Arial" w:hAnsi="Arial" w:cs="Arial"/>
          <w:sz w:val="22"/>
          <w:szCs w:val="22"/>
        </w:rPr>
        <w:t>Symposium targets early-career researchers, while the Global Tax Symposium focuses</w:t>
      </w:r>
      <w:r w:rsidR="008B294C" w:rsidRPr="00D57A9A">
        <w:rPr>
          <w:rFonts w:ascii="Arial" w:hAnsi="Arial" w:cs="Arial"/>
          <w:sz w:val="22"/>
          <w:szCs w:val="22"/>
        </w:rPr>
        <w:t xml:space="preserve"> </w:t>
      </w:r>
      <w:r w:rsidRPr="00D57A9A">
        <w:rPr>
          <w:rFonts w:ascii="Arial" w:hAnsi="Arial" w:cs="Arial"/>
          <w:sz w:val="22"/>
          <w:szCs w:val="22"/>
        </w:rPr>
        <w:t>on papers written by more experienced scholars.</w:t>
      </w:r>
    </w:p>
    <w:p w14:paraId="10614179" w14:textId="77777777" w:rsidR="00A16B7B" w:rsidRPr="00D57A9A" w:rsidRDefault="00A16B7B" w:rsidP="00D57A9A">
      <w:pPr>
        <w:snapToGrid w:val="0"/>
        <w:spacing w:after="120"/>
        <w:jc w:val="both"/>
        <w:rPr>
          <w:rFonts w:ascii="Arial" w:hAnsi="Arial" w:cs="Arial"/>
          <w:sz w:val="22"/>
          <w:szCs w:val="22"/>
        </w:rPr>
      </w:pPr>
      <w:r w:rsidRPr="00D57A9A">
        <w:rPr>
          <w:rFonts w:ascii="Arial" w:hAnsi="Arial" w:cs="Arial"/>
          <w:sz w:val="22"/>
          <w:szCs w:val="22"/>
        </w:rPr>
        <w:t>The following institutions have supported the GTS:</w:t>
      </w:r>
    </w:p>
    <w:p w14:paraId="424BBBCF" w14:textId="54C0098E" w:rsidR="00A16B7B" w:rsidRPr="00D57A9A" w:rsidRDefault="00A16B7B" w:rsidP="00D57A9A">
      <w:pPr>
        <w:snapToGrid w:val="0"/>
        <w:spacing w:after="120"/>
        <w:jc w:val="both"/>
        <w:rPr>
          <w:rFonts w:ascii="Arial" w:hAnsi="Arial" w:cs="Arial"/>
          <w:sz w:val="22"/>
          <w:szCs w:val="22"/>
        </w:rPr>
      </w:pPr>
      <w:r w:rsidRPr="00D57A9A">
        <w:rPr>
          <w:rFonts w:ascii="Arial" w:hAnsi="Arial" w:cs="Arial"/>
          <w:sz w:val="22"/>
          <w:szCs w:val="22"/>
        </w:rPr>
        <w:t>Africa: University of Pretoria (South Africa); Americas: Universidad Torcuato Di Tella</w:t>
      </w:r>
      <w:r w:rsidR="008B294C" w:rsidRPr="00D57A9A">
        <w:rPr>
          <w:rFonts w:ascii="Arial" w:hAnsi="Arial" w:cs="Arial"/>
          <w:sz w:val="22"/>
          <w:szCs w:val="22"/>
        </w:rPr>
        <w:t xml:space="preserve"> </w:t>
      </w:r>
      <w:r w:rsidRPr="00D57A9A">
        <w:rPr>
          <w:rFonts w:ascii="Arial" w:hAnsi="Arial" w:cs="Arial"/>
          <w:sz w:val="22"/>
          <w:szCs w:val="22"/>
        </w:rPr>
        <w:t>(Argentina), University of São Paulo (Brazil), McGill University (Canada), New York</w:t>
      </w:r>
      <w:r w:rsidR="008B294C" w:rsidRPr="00D57A9A">
        <w:rPr>
          <w:rFonts w:ascii="Arial" w:hAnsi="Arial" w:cs="Arial"/>
          <w:sz w:val="22"/>
          <w:szCs w:val="22"/>
        </w:rPr>
        <w:t xml:space="preserve"> </w:t>
      </w:r>
      <w:r w:rsidRPr="00D57A9A">
        <w:rPr>
          <w:rFonts w:ascii="Arial" w:hAnsi="Arial" w:cs="Arial"/>
          <w:sz w:val="22"/>
          <w:szCs w:val="22"/>
        </w:rPr>
        <w:t>University (United States of America); Asia: Wuhan University (People’s Republic of</w:t>
      </w:r>
      <w:r w:rsidR="008B294C" w:rsidRPr="00D57A9A">
        <w:rPr>
          <w:rFonts w:ascii="Arial" w:hAnsi="Arial" w:cs="Arial"/>
          <w:sz w:val="22"/>
          <w:szCs w:val="22"/>
        </w:rPr>
        <w:t xml:space="preserve"> </w:t>
      </w:r>
      <w:r w:rsidRPr="00D57A9A">
        <w:rPr>
          <w:rFonts w:ascii="Arial" w:hAnsi="Arial" w:cs="Arial"/>
          <w:sz w:val="22"/>
          <w:szCs w:val="22"/>
        </w:rPr>
        <w:t>China), Meiji University (Japan), National Institute of Public Finance and Policy (India),</w:t>
      </w:r>
      <w:r w:rsidR="008B294C" w:rsidRPr="00D57A9A">
        <w:rPr>
          <w:rFonts w:ascii="Arial" w:hAnsi="Arial" w:cs="Arial"/>
          <w:sz w:val="22"/>
          <w:szCs w:val="22"/>
        </w:rPr>
        <w:t xml:space="preserve"> </w:t>
      </w:r>
      <w:r w:rsidRPr="00D57A9A">
        <w:rPr>
          <w:rFonts w:ascii="Arial" w:hAnsi="Arial" w:cs="Arial"/>
          <w:sz w:val="22"/>
          <w:szCs w:val="22"/>
        </w:rPr>
        <w:t xml:space="preserve">Universitas </w:t>
      </w:r>
      <w:proofErr w:type="spellStart"/>
      <w:r w:rsidRPr="00D57A9A">
        <w:rPr>
          <w:rFonts w:ascii="Arial" w:hAnsi="Arial" w:cs="Arial"/>
          <w:sz w:val="22"/>
          <w:szCs w:val="22"/>
        </w:rPr>
        <w:t>Gadja</w:t>
      </w:r>
      <w:proofErr w:type="spellEnd"/>
      <w:r w:rsidRPr="00D57A9A">
        <w:rPr>
          <w:rFonts w:ascii="Arial" w:hAnsi="Arial" w:cs="Arial"/>
          <w:sz w:val="22"/>
          <w:szCs w:val="22"/>
        </w:rPr>
        <w:t xml:space="preserve"> Madha (Indonesia), Moscow State University (Russian Federation),</w:t>
      </w:r>
      <w:r w:rsidR="008B294C" w:rsidRPr="00D57A9A">
        <w:rPr>
          <w:rFonts w:ascii="Arial" w:hAnsi="Arial" w:cs="Arial"/>
          <w:sz w:val="22"/>
          <w:szCs w:val="22"/>
        </w:rPr>
        <w:t xml:space="preserve"> </w:t>
      </w:r>
      <w:r w:rsidRPr="00D57A9A">
        <w:rPr>
          <w:rFonts w:ascii="Arial" w:hAnsi="Arial" w:cs="Arial"/>
          <w:sz w:val="22"/>
          <w:szCs w:val="22"/>
        </w:rPr>
        <w:t>King Saud University (Kingdom of Saudi Arabia), University of Seoul (South</w:t>
      </w:r>
      <w:r w:rsidR="008B294C" w:rsidRPr="00D57A9A">
        <w:rPr>
          <w:rFonts w:ascii="Arial" w:hAnsi="Arial" w:cs="Arial"/>
          <w:sz w:val="22"/>
          <w:szCs w:val="22"/>
        </w:rPr>
        <w:t xml:space="preserve"> </w:t>
      </w:r>
      <w:r w:rsidRPr="00D57A9A">
        <w:rPr>
          <w:rFonts w:ascii="Arial" w:hAnsi="Arial" w:cs="Arial"/>
          <w:sz w:val="22"/>
          <w:szCs w:val="22"/>
        </w:rPr>
        <w:t>Korea); Asia-Pacific: the University of Melbourne (Australia), the University of New</w:t>
      </w:r>
      <w:r w:rsidR="008B294C" w:rsidRPr="00D57A9A">
        <w:rPr>
          <w:rFonts w:ascii="Arial" w:hAnsi="Arial" w:cs="Arial"/>
          <w:sz w:val="22"/>
          <w:szCs w:val="22"/>
        </w:rPr>
        <w:t xml:space="preserve"> </w:t>
      </w:r>
      <w:r w:rsidRPr="00D57A9A">
        <w:rPr>
          <w:rFonts w:ascii="Arial" w:hAnsi="Arial" w:cs="Arial"/>
          <w:sz w:val="22"/>
          <w:szCs w:val="22"/>
        </w:rPr>
        <w:t>South Wales (Australia), University of Auckland (New Zealand); Europe: University of</w:t>
      </w:r>
      <w:r w:rsidR="008B294C" w:rsidRPr="00D57A9A">
        <w:rPr>
          <w:rFonts w:ascii="Arial" w:hAnsi="Arial" w:cs="Arial"/>
          <w:sz w:val="22"/>
          <w:szCs w:val="22"/>
        </w:rPr>
        <w:t xml:space="preserve"> </w:t>
      </w:r>
      <w:r w:rsidRPr="00D57A9A">
        <w:rPr>
          <w:rFonts w:ascii="Arial" w:hAnsi="Arial" w:cs="Arial"/>
          <w:sz w:val="22"/>
          <w:szCs w:val="22"/>
        </w:rPr>
        <w:t>Louvain (Belgium), Sorbonne Law School (France), University of Münster (Germany),</w:t>
      </w:r>
      <w:r w:rsidR="008B294C" w:rsidRPr="00D57A9A">
        <w:rPr>
          <w:rFonts w:ascii="Arial" w:hAnsi="Arial" w:cs="Arial"/>
          <w:sz w:val="22"/>
          <w:szCs w:val="22"/>
        </w:rPr>
        <w:t xml:space="preserve"> </w:t>
      </w:r>
      <w:r w:rsidRPr="00D57A9A">
        <w:rPr>
          <w:rFonts w:ascii="Arial" w:hAnsi="Arial" w:cs="Arial"/>
          <w:sz w:val="22"/>
          <w:szCs w:val="22"/>
        </w:rPr>
        <w:t>Leiden University and ERC funded project GLOBTAXGOV (the Netherlands), Stockholm</w:t>
      </w:r>
      <w:r w:rsidR="008B294C" w:rsidRPr="00D57A9A">
        <w:rPr>
          <w:rFonts w:ascii="Arial" w:hAnsi="Arial" w:cs="Arial"/>
          <w:sz w:val="22"/>
          <w:szCs w:val="22"/>
        </w:rPr>
        <w:t xml:space="preserve"> </w:t>
      </w:r>
      <w:r w:rsidRPr="00D57A9A">
        <w:rPr>
          <w:rFonts w:ascii="Arial" w:hAnsi="Arial" w:cs="Arial"/>
          <w:sz w:val="22"/>
          <w:szCs w:val="22"/>
        </w:rPr>
        <w:t>University (Sweden), Koç University (Turkey), Valencia University (Spain), London School</w:t>
      </w:r>
      <w:r w:rsidR="008B294C" w:rsidRPr="00D57A9A">
        <w:rPr>
          <w:rFonts w:ascii="Arial" w:hAnsi="Arial" w:cs="Arial"/>
          <w:sz w:val="22"/>
          <w:szCs w:val="22"/>
        </w:rPr>
        <w:t xml:space="preserve"> </w:t>
      </w:r>
      <w:r w:rsidRPr="00D57A9A">
        <w:rPr>
          <w:rFonts w:ascii="Arial" w:hAnsi="Arial" w:cs="Arial"/>
          <w:sz w:val="22"/>
          <w:szCs w:val="22"/>
        </w:rPr>
        <w:t>of Economics (United Kingdom) and the University of Ferrara (Italy).</w:t>
      </w:r>
    </w:p>
    <w:p w14:paraId="20D09B56" w14:textId="77777777" w:rsidR="008B294C" w:rsidRPr="00D57A9A" w:rsidRDefault="008B294C" w:rsidP="00D57A9A">
      <w:pPr>
        <w:snapToGrid w:val="0"/>
        <w:spacing w:after="120"/>
        <w:rPr>
          <w:rFonts w:ascii="Arial" w:hAnsi="Arial" w:cs="Arial"/>
          <w:sz w:val="22"/>
          <w:szCs w:val="22"/>
        </w:rPr>
      </w:pPr>
    </w:p>
    <w:p w14:paraId="71742492" w14:textId="77777777" w:rsidR="00CB6E83" w:rsidRDefault="00CB6E8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22EFF97A" w14:textId="02682C32" w:rsidR="00CC4506" w:rsidRDefault="00A16B7B" w:rsidP="00D57A9A">
      <w:pPr>
        <w:snapToGrid w:val="0"/>
        <w:spacing w:after="120"/>
        <w:rPr>
          <w:rFonts w:ascii="Arial" w:hAnsi="Arial" w:cs="Arial"/>
          <w:b/>
          <w:bCs/>
          <w:sz w:val="22"/>
          <w:szCs w:val="22"/>
        </w:rPr>
      </w:pPr>
      <w:r w:rsidRPr="00D57A9A">
        <w:rPr>
          <w:rFonts w:ascii="Arial" w:hAnsi="Arial" w:cs="Arial"/>
          <w:b/>
          <w:bCs/>
          <w:sz w:val="22"/>
          <w:szCs w:val="22"/>
        </w:rPr>
        <w:lastRenderedPageBreak/>
        <w:t>The 202</w:t>
      </w:r>
      <w:r w:rsidR="008B294C" w:rsidRPr="00D57A9A">
        <w:rPr>
          <w:rFonts w:ascii="Arial" w:hAnsi="Arial" w:cs="Arial"/>
          <w:b/>
          <w:bCs/>
          <w:sz w:val="22"/>
          <w:szCs w:val="22"/>
        </w:rPr>
        <w:t>7</w:t>
      </w:r>
      <w:r w:rsidRPr="00D57A9A">
        <w:rPr>
          <w:rFonts w:ascii="Arial" w:hAnsi="Arial" w:cs="Arial"/>
          <w:b/>
          <w:bCs/>
          <w:sz w:val="22"/>
          <w:szCs w:val="22"/>
        </w:rPr>
        <w:t xml:space="preserve"> Global Tax Symposium</w:t>
      </w:r>
    </w:p>
    <w:p w14:paraId="36E098E6" w14:textId="77777777" w:rsidR="00D57A9A" w:rsidRPr="00D57A9A" w:rsidRDefault="00D57A9A" w:rsidP="00D57A9A">
      <w:pPr>
        <w:snapToGrid w:val="0"/>
        <w:spacing w:after="120"/>
        <w:rPr>
          <w:rFonts w:ascii="Arial" w:hAnsi="Arial" w:cs="Arial"/>
          <w:b/>
          <w:bCs/>
          <w:sz w:val="22"/>
          <w:szCs w:val="22"/>
        </w:rPr>
      </w:pPr>
    </w:p>
    <w:p w14:paraId="2221D312" w14:textId="77F49A71" w:rsidR="00CC4506" w:rsidRPr="00D57A9A" w:rsidRDefault="00A16B7B" w:rsidP="00D57A9A">
      <w:pPr>
        <w:snapToGrid w:val="0"/>
        <w:spacing w:after="120"/>
        <w:rPr>
          <w:rFonts w:ascii="Arial" w:hAnsi="Arial" w:cs="Arial"/>
          <w:sz w:val="22"/>
          <w:szCs w:val="22"/>
        </w:rPr>
      </w:pPr>
      <w:r w:rsidRPr="00D57A9A">
        <w:rPr>
          <w:rFonts w:ascii="Arial" w:hAnsi="Arial" w:cs="Arial"/>
          <w:sz w:val="22"/>
          <w:szCs w:val="22"/>
        </w:rPr>
        <w:t>The 202</w:t>
      </w:r>
      <w:r w:rsidR="00CC4506" w:rsidRPr="00D57A9A">
        <w:rPr>
          <w:rFonts w:ascii="Arial" w:hAnsi="Arial" w:cs="Arial"/>
          <w:sz w:val="22"/>
          <w:szCs w:val="22"/>
        </w:rPr>
        <w:t>7</w:t>
      </w:r>
      <w:r w:rsidRPr="00D57A9A">
        <w:rPr>
          <w:rFonts w:ascii="Arial" w:hAnsi="Arial" w:cs="Arial"/>
          <w:sz w:val="22"/>
          <w:szCs w:val="22"/>
        </w:rPr>
        <w:t xml:space="preserve"> Global Tax Symposium will be organised and hosted by the </w:t>
      </w:r>
      <w:r w:rsidR="00CC4506" w:rsidRPr="00D57A9A">
        <w:rPr>
          <w:rFonts w:ascii="Arial" w:hAnsi="Arial" w:cs="Arial"/>
          <w:sz w:val="22"/>
          <w:szCs w:val="22"/>
        </w:rPr>
        <w:t xml:space="preserve">New Zealand Centre for Taxation, </w:t>
      </w:r>
      <w:r w:rsidR="003724A8">
        <w:rPr>
          <w:rFonts w:ascii="Arial" w:hAnsi="Arial" w:cs="Arial"/>
          <w:sz w:val="22"/>
          <w:szCs w:val="22"/>
        </w:rPr>
        <w:t xml:space="preserve">the </w:t>
      </w:r>
      <w:r w:rsidRPr="00D57A9A">
        <w:rPr>
          <w:rFonts w:ascii="Arial" w:hAnsi="Arial" w:cs="Arial"/>
          <w:sz w:val="22"/>
          <w:szCs w:val="22"/>
        </w:rPr>
        <w:t>University of</w:t>
      </w:r>
      <w:r w:rsidR="00CC4506" w:rsidRPr="00D57A9A">
        <w:rPr>
          <w:rFonts w:ascii="Arial" w:hAnsi="Arial" w:cs="Arial"/>
          <w:sz w:val="22"/>
          <w:szCs w:val="22"/>
        </w:rPr>
        <w:t xml:space="preserve"> Auckland</w:t>
      </w:r>
      <w:r w:rsidRPr="00D57A9A">
        <w:rPr>
          <w:rFonts w:ascii="Arial" w:hAnsi="Arial" w:cs="Arial"/>
          <w:sz w:val="22"/>
          <w:szCs w:val="22"/>
        </w:rPr>
        <w:t xml:space="preserve"> (</w:t>
      </w:r>
      <w:r w:rsidR="00CC4506" w:rsidRPr="00D57A9A">
        <w:rPr>
          <w:rFonts w:ascii="Arial" w:hAnsi="Arial" w:cs="Arial"/>
          <w:sz w:val="22"/>
          <w:szCs w:val="22"/>
        </w:rPr>
        <w:t>New Zealand</w:t>
      </w:r>
      <w:r w:rsidRPr="00D57A9A">
        <w:rPr>
          <w:rFonts w:ascii="Arial" w:hAnsi="Arial" w:cs="Arial"/>
          <w:sz w:val="22"/>
          <w:szCs w:val="22"/>
        </w:rPr>
        <w:t>). The event will last two days</w:t>
      </w:r>
      <w:r w:rsidR="00D022DD">
        <w:rPr>
          <w:rFonts w:ascii="Arial" w:hAnsi="Arial" w:cs="Arial"/>
          <w:sz w:val="22"/>
          <w:szCs w:val="22"/>
        </w:rPr>
        <w:t xml:space="preserve"> and be organised as a hybrid conference,</w:t>
      </w:r>
      <w:r w:rsidRPr="00D57A9A">
        <w:rPr>
          <w:rFonts w:ascii="Arial" w:hAnsi="Arial" w:cs="Arial"/>
          <w:sz w:val="22"/>
          <w:szCs w:val="22"/>
        </w:rPr>
        <w:t xml:space="preserve"> with participation either on-site or online.</w:t>
      </w:r>
    </w:p>
    <w:p w14:paraId="4A646F89" w14:textId="703930EE" w:rsidR="00A16B7B" w:rsidRPr="00D57A9A" w:rsidRDefault="00A16B7B" w:rsidP="00D57A9A">
      <w:pPr>
        <w:snapToGrid w:val="0"/>
        <w:spacing w:after="120"/>
        <w:rPr>
          <w:rFonts w:ascii="Arial" w:hAnsi="Arial" w:cs="Arial"/>
          <w:sz w:val="22"/>
          <w:szCs w:val="22"/>
        </w:rPr>
      </w:pPr>
      <w:r w:rsidRPr="00D57A9A">
        <w:rPr>
          <w:rFonts w:ascii="Arial" w:hAnsi="Arial" w:cs="Arial"/>
          <w:sz w:val="22"/>
          <w:szCs w:val="22"/>
        </w:rPr>
        <w:t xml:space="preserve">Date: </w:t>
      </w:r>
      <w:r w:rsidR="00CC4506" w:rsidRPr="00D57A9A">
        <w:rPr>
          <w:rFonts w:ascii="Arial" w:hAnsi="Arial" w:cs="Arial"/>
          <w:sz w:val="22"/>
          <w:szCs w:val="22"/>
        </w:rPr>
        <w:t>9 and 10 December</w:t>
      </w:r>
      <w:r w:rsidR="006F1033" w:rsidRPr="00D57A9A">
        <w:rPr>
          <w:rFonts w:ascii="Arial" w:hAnsi="Arial" w:cs="Arial"/>
          <w:sz w:val="22"/>
          <w:szCs w:val="22"/>
        </w:rPr>
        <w:t xml:space="preserve"> </w:t>
      </w:r>
      <w:r w:rsidRPr="00D57A9A">
        <w:rPr>
          <w:rFonts w:ascii="Arial" w:hAnsi="Arial" w:cs="Arial"/>
          <w:sz w:val="22"/>
          <w:szCs w:val="22"/>
        </w:rPr>
        <w:t>202</w:t>
      </w:r>
      <w:r w:rsidR="00CC4506" w:rsidRPr="00D57A9A">
        <w:rPr>
          <w:rFonts w:ascii="Arial" w:hAnsi="Arial" w:cs="Arial"/>
          <w:sz w:val="22"/>
          <w:szCs w:val="22"/>
        </w:rPr>
        <w:t>7</w:t>
      </w:r>
      <w:r w:rsidR="00D57A9A">
        <w:rPr>
          <w:rFonts w:ascii="Arial" w:hAnsi="Arial" w:cs="Arial"/>
          <w:sz w:val="22"/>
          <w:szCs w:val="22"/>
        </w:rPr>
        <w:t>.</w:t>
      </w:r>
    </w:p>
    <w:p w14:paraId="01ECB6A2" w14:textId="0FABEDE7" w:rsidR="001F2505" w:rsidRPr="00D57A9A" w:rsidRDefault="001F2505" w:rsidP="00D57A9A">
      <w:pPr>
        <w:snapToGrid w:val="0"/>
        <w:spacing w:after="120"/>
        <w:rPr>
          <w:rFonts w:ascii="Arial" w:hAnsi="Arial" w:cs="Arial"/>
          <w:sz w:val="22"/>
          <w:szCs w:val="22"/>
        </w:rPr>
      </w:pPr>
      <w:r w:rsidRPr="00D57A9A">
        <w:rPr>
          <w:rFonts w:ascii="Arial" w:hAnsi="Arial" w:cs="Arial"/>
          <w:sz w:val="22"/>
          <w:szCs w:val="22"/>
        </w:rPr>
        <w:t xml:space="preserve">The Symposium’s Theme: </w:t>
      </w:r>
      <w:r w:rsidR="00D57A9A">
        <w:rPr>
          <w:rFonts w:ascii="Arial" w:hAnsi="Arial" w:cs="Arial"/>
          <w:sz w:val="22"/>
          <w:szCs w:val="22"/>
        </w:rPr>
        <w:t>“</w:t>
      </w:r>
      <w:r w:rsidRPr="00D57A9A">
        <w:rPr>
          <w:rFonts w:ascii="Arial" w:hAnsi="Arial" w:cs="Arial"/>
          <w:sz w:val="22"/>
          <w:szCs w:val="22"/>
        </w:rPr>
        <w:t>Taxes and Space</w:t>
      </w:r>
      <w:r w:rsidR="00D57A9A">
        <w:rPr>
          <w:rFonts w:ascii="Arial" w:hAnsi="Arial" w:cs="Arial"/>
          <w:sz w:val="22"/>
          <w:szCs w:val="22"/>
        </w:rPr>
        <w:t>”</w:t>
      </w:r>
      <w:r w:rsidR="00CB6E83">
        <w:rPr>
          <w:rFonts w:ascii="Arial" w:hAnsi="Arial" w:cs="Arial"/>
          <w:sz w:val="22"/>
          <w:szCs w:val="22"/>
        </w:rPr>
        <w:t>.</w:t>
      </w:r>
    </w:p>
    <w:p w14:paraId="1D2270A6" w14:textId="77777777" w:rsidR="00D57A9A" w:rsidRPr="00D57A9A" w:rsidRDefault="00D57A9A" w:rsidP="00D57A9A">
      <w:pPr>
        <w:snapToGrid w:val="0"/>
        <w:spacing w:after="120"/>
        <w:jc w:val="both"/>
        <w:rPr>
          <w:rFonts w:ascii="Arial" w:hAnsi="Arial" w:cs="Arial"/>
          <w:sz w:val="22"/>
          <w:szCs w:val="22"/>
        </w:rPr>
      </w:pPr>
      <w:r w:rsidRPr="00D57A9A">
        <w:rPr>
          <w:rFonts w:ascii="Arial" w:hAnsi="Arial" w:cs="Arial"/>
          <w:sz w:val="22"/>
          <w:szCs w:val="22"/>
        </w:rPr>
        <w:t>Taxation is, at its core, a spatial phenomenon. We call for papers that make an intellectual contribution to understanding taxation as a spatial phenomenon along any of the following dimensions:</w:t>
      </w:r>
    </w:p>
    <w:p w14:paraId="4D4848CD" w14:textId="2A8649A9" w:rsidR="00D57A9A" w:rsidRPr="00D57A9A" w:rsidRDefault="00D57A9A" w:rsidP="00D57A9A">
      <w:pPr>
        <w:pStyle w:val="ListParagraph"/>
        <w:numPr>
          <w:ilvl w:val="0"/>
          <w:numId w:val="2"/>
        </w:numPr>
        <w:snapToGrid w:val="0"/>
        <w:spacing w:after="120"/>
        <w:jc w:val="both"/>
      </w:pPr>
      <w:r w:rsidRPr="00D57A9A">
        <w:rPr>
          <w:b/>
          <w:bCs/>
        </w:rPr>
        <w:t>inner space</w:t>
      </w:r>
      <w:r w:rsidRPr="00D57A9A">
        <w:t>: the allocation of taxing rights between central and regional governments, and the tax treatment of economic activity that crosses internal administrative boundaries;</w:t>
      </w:r>
    </w:p>
    <w:p w14:paraId="691DB8A9" w14:textId="6F37D981" w:rsidR="00D57A9A" w:rsidRPr="00D57A9A" w:rsidRDefault="00D57A9A" w:rsidP="00D57A9A">
      <w:pPr>
        <w:pStyle w:val="ListParagraph"/>
        <w:numPr>
          <w:ilvl w:val="0"/>
          <w:numId w:val="2"/>
        </w:numPr>
        <w:snapToGrid w:val="0"/>
        <w:spacing w:after="120"/>
        <w:jc w:val="both"/>
      </w:pPr>
      <w:r w:rsidRPr="00D57A9A">
        <w:rPr>
          <w:b/>
          <w:bCs/>
        </w:rPr>
        <w:t>outer space</w:t>
      </w:r>
      <w:r w:rsidRPr="00D57A9A">
        <w:t xml:space="preserve">: the commercialisation of the cosmos, as the ultimate test </w:t>
      </w:r>
      <w:r>
        <w:t>for</w:t>
      </w:r>
      <w:r w:rsidRPr="00D57A9A">
        <w:t xml:space="preserve"> tax principles </w:t>
      </w:r>
      <w:r>
        <w:t xml:space="preserve">developed </w:t>
      </w:r>
      <w:r w:rsidRPr="00D57A9A">
        <w:t>for a terrestrial world;</w:t>
      </w:r>
    </w:p>
    <w:p w14:paraId="34422395" w14:textId="43A1A06F" w:rsidR="00D57A9A" w:rsidRPr="00D57A9A" w:rsidRDefault="00D57A9A" w:rsidP="00D57A9A">
      <w:pPr>
        <w:pStyle w:val="ListParagraph"/>
        <w:numPr>
          <w:ilvl w:val="0"/>
          <w:numId w:val="2"/>
        </w:numPr>
        <w:snapToGrid w:val="0"/>
        <w:spacing w:after="120"/>
        <w:jc w:val="both"/>
      </w:pPr>
      <w:r w:rsidRPr="00D57A9A">
        <w:rPr>
          <w:b/>
          <w:bCs/>
        </w:rPr>
        <w:t>physical space</w:t>
      </w:r>
      <w:r w:rsidRPr="00D57A9A">
        <w:t>: how the link to physical space has shaped tax rules and how tax rules affect the use of the physical space;</w:t>
      </w:r>
    </w:p>
    <w:p w14:paraId="41C21CEE" w14:textId="5CF74E3B" w:rsidR="00D57A9A" w:rsidRPr="00D57A9A" w:rsidRDefault="00D57A9A" w:rsidP="00D57A9A">
      <w:pPr>
        <w:pStyle w:val="ListParagraph"/>
        <w:numPr>
          <w:ilvl w:val="0"/>
          <w:numId w:val="2"/>
        </w:numPr>
        <w:snapToGrid w:val="0"/>
        <w:spacing w:after="120"/>
        <w:jc w:val="both"/>
      </w:pPr>
      <w:r w:rsidRPr="00D57A9A">
        <w:rPr>
          <w:b/>
          <w:bCs/>
        </w:rPr>
        <w:t>regulatory and policy space</w:t>
      </w:r>
      <w:r w:rsidRPr="00D57A9A">
        <w:t>: how domestic tax rules and international tax agreements create constraints and opportunities for states, multinational enterprises and wealthy individuals.</w:t>
      </w:r>
    </w:p>
    <w:p w14:paraId="12BD2341" w14:textId="796E4286" w:rsidR="00A16B7B" w:rsidRPr="00D57A9A" w:rsidRDefault="00A16B7B" w:rsidP="00D57A9A">
      <w:pPr>
        <w:snapToGrid w:val="0"/>
        <w:spacing w:after="120"/>
        <w:jc w:val="both"/>
        <w:rPr>
          <w:rFonts w:ascii="Arial" w:hAnsi="Arial" w:cs="Arial"/>
          <w:sz w:val="22"/>
          <w:szCs w:val="22"/>
        </w:rPr>
      </w:pPr>
      <w:r w:rsidRPr="00D57A9A">
        <w:rPr>
          <w:rFonts w:ascii="Arial" w:hAnsi="Arial" w:cs="Arial"/>
          <w:sz w:val="22"/>
          <w:szCs w:val="22"/>
        </w:rPr>
        <w:t>Against this backdrop, the 202</w:t>
      </w:r>
      <w:r w:rsidR="00CC4506" w:rsidRPr="00D57A9A">
        <w:rPr>
          <w:rFonts w:ascii="Arial" w:hAnsi="Arial" w:cs="Arial"/>
          <w:sz w:val="22"/>
          <w:szCs w:val="22"/>
        </w:rPr>
        <w:t>7</w:t>
      </w:r>
      <w:r w:rsidRPr="00D57A9A">
        <w:rPr>
          <w:rFonts w:ascii="Arial" w:hAnsi="Arial" w:cs="Arial"/>
          <w:sz w:val="22"/>
          <w:szCs w:val="22"/>
        </w:rPr>
        <w:t xml:space="preserve"> Global Tax Symposium </w:t>
      </w:r>
      <w:r w:rsidR="00D022DD">
        <w:rPr>
          <w:rFonts w:ascii="Arial" w:hAnsi="Arial" w:cs="Arial"/>
          <w:sz w:val="22"/>
          <w:szCs w:val="22"/>
        </w:rPr>
        <w:t xml:space="preserve">invites submissions of scholarly papers that address the </w:t>
      </w:r>
      <w:proofErr w:type="gramStart"/>
      <w:r w:rsidR="00D022DD">
        <w:rPr>
          <w:rFonts w:ascii="Arial" w:hAnsi="Arial" w:cs="Arial"/>
          <w:sz w:val="22"/>
          <w:szCs w:val="22"/>
        </w:rPr>
        <w:t>aforementioned</w:t>
      </w:r>
      <w:r w:rsidR="001263BF">
        <w:rPr>
          <w:rFonts w:ascii="Arial" w:hAnsi="Arial" w:cs="Arial"/>
          <w:sz w:val="22"/>
          <w:szCs w:val="22"/>
        </w:rPr>
        <w:t xml:space="preserve"> questions</w:t>
      </w:r>
      <w:proofErr w:type="gramEnd"/>
      <w:r w:rsidR="001263BF">
        <w:rPr>
          <w:rFonts w:ascii="Arial" w:hAnsi="Arial" w:cs="Arial"/>
          <w:sz w:val="22"/>
          <w:szCs w:val="22"/>
        </w:rPr>
        <w:t>, challenges, or other contemporary taxation issues</w:t>
      </w:r>
      <w:r w:rsidR="00D022DD">
        <w:rPr>
          <w:rFonts w:ascii="Arial" w:hAnsi="Arial" w:cs="Arial"/>
          <w:sz w:val="22"/>
          <w:szCs w:val="22"/>
        </w:rPr>
        <w:t>,</w:t>
      </w:r>
      <w:r w:rsidRPr="00D57A9A">
        <w:rPr>
          <w:rFonts w:ascii="Arial" w:hAnsi="Arial" w:cs="Arial"/>
          <w:sz w:val="22"/>
          <w:szCs w:val="22"/>
        </w:rPr>
        <w:t xml:space="preserve"> with an international or comparative perspective. The symposium</w:t>
      </w:r>
      <w:r w:rsidR="006F1033" w:rsidRPr="00D57A9A">
        <w:rPr>
          <w:rFonts w:ascii="Arial" w:hAnsi="Arial" w:cs="Arial"/>
          <w:sz w:val="22"/>
          <w:szCs w:val="22"/>
        </w:rPr>
        <w:t xml:space="preserve"> </w:t>
      </w:r>
      <w:r w:rsidRPr="00D57A9A">
        <w:rPr>
          <w:rFonts w:ascii="Arial" w:hAnsi="Arial" w:cs="Arial"/>
          <w:sz w:val="22"/>
          <w:szCs w:val="22"/>
        </w:rPr>
        <w:t>welcomes both theoretical and empirical research contributions.</w:t>
      </w:r>
    </w:p>
    <w:p w14:paraId="3C9C9717" w14:textId="24E08F79" w:rsidR="00D57A9A" w:rsidRDefault="00A16B7B" w:rsidP="00D57A9A">
      <w:pPr>
        <w:snapToGrid w:val="0"/>
        <w:spacing w:after="120"/>
        <w:jc w:val="both"/>
        <w:rPr>
          <w:rFonts w:ascii="Arial" w:hAnsi="Arial" w:cs="Arial"/>
          <w:sz w:val="22"/>
          <w:szCs w:val="22"/>
        </w:rPr>
      </w:pPr>
      <w:r w:rsidRPr="00D57A9A">
        <w:rPr>
          <w:rFonts w:ascii="Arial" w:hAnsi="Arial" w:cs="Arial"/>
          <w:sz w:val="22"/>
          <w:szCs w:val="22"/>
        </w:rPr>
        <w:t xml:space="preserve">The papers to be presented at the symposium will be selected by the </w:t>
      </w:r>
      <w:r w:rsidR="00D022DD">
        <w:rPr>
          <w:rFonts w:ascii="Arial" w:hAnsi="Arial" w:cs="Arial"/>
          <w:sz w:val="22"/>
          <w:szCs w:val="22"/>
        </w:rPr>
        <w:t>GTS steering group</w:t>
      </w:r>
      <w:r w:rsidRPr="00D57A9A">
        <w:rPr>
          <w:rFonts w:ascii="Arial" w:hAnsi="Arial" w:cs="Arial"/>
          <w:sz w:val="22"/>
          <w:szCs w:val="22"/>
        </w:rPr>
        <w:t xml:space="preserve">. </w:t>
      </w:r>
    </w:p>
    <w:p w14:paraId="59300D1D" w14:textId="2CE89089" w:rsidR="00D022DD" w:rsidRDefault="00A16B7B" w:rsidP="00D57A9A">
      <w:pPr>
        <w:snapToGrid w:val="0"/>
        <w:spacing w:after="120"/>
        <w:jc w:val="both"/>
        <w:rPr>
          <w:rFonts w:ascii="Arial" w:hAnsi="Arial" w:cs="Arial"/>
          <w:sz w:val="22"/>
          <w:szCs w:val="22"/>
        </w:rPr>
      </w:pPr>
      <w:r w:rsidRPr="00D57A9A">
        <w:rPr>
          <w:rFonts w:ascii="Arial" w:hAnsi="Arial" w:cs="Arial"/>
          <w:sz w:val="22"/>
          <w:szCs w:val="22"/>
        </w:rPr>
        <w:t xml:space="preserve">Each selected paper will be commented </w:t>
      </w:r>
      <w:r w:rsidR="00D022DD">
        <w:rPr>
          <w:rFonts w:ascii="Arial" w:hAnsi="Arial" w:cs="Arial"/>
          <w:sz w:val="22"/>
          <w:szCs w:val="22"/>
        </w:rPr>
        <w:t xml:space="preserve">on </w:t>
      </w:r>
      <w:r w:rsidRPr="00D57A9A">
        <w:rPr>
          <w:rFonts w:ascii="Arial" w:hAnsi="Arial" w:cs="Arial"/>
          <w:sz w:val="22"/>
          <w:szCs w:val="22"/>
        </w:rPr>
        <w:t>by panel members from academia,</w:t>
      </w:r>
      <w:r w:rsidR="006F1033" w:rsidRPr="00D57A9A">
        <w:rPr>
          <w:rFonts w:ascii="Arial" w:hAnsi="Arial" w:cs="Arial"/>
          <w:sz w:val="22"/>
          <w:szCs w:val="22"/>
        </w:rPr>
        <w:t xml:space="preserve"> </w:t>
      </w:r>
      <w:r w:rsidRPr="00D57A9A">
        <w:rPr>
          <w:rFonts w:ascii="Arial" w:hAnsi="Arial" w:cs="Arial"/>
          <w:sz w:val="22"/>
          <w:szCs w:val="22"/>
        </w:rPr>
        <w:t>professional institutes, and government agencies with diverse interdisciplinary and</w:t>
      </w:r>
      <w:r w:rsidR="006F1033" w:rsidRPr="00D57A9A">
        <w:rPr>
          <w:rFonts w:ascii="Arial" w:hAnsi="Arial" w:cs="Arial"/>
          <w:sz w:val="22"/>
          <w:szCs w:val="22"/>
        </w:rPr>
        <w:t xml:space="preserve"> </w:t>
      </w:r>
      <w:r w:rsidRPr="00D57A9A">
        <w:rPr>
          <w:rFonts w:ascii="Arial" w:hAnsi="Arial" w:cs="Arial"/>
          <w:sz w:val="22"/>
          <w:szCs w:val="22"/>
        </w:rPr>
        <w:t>regional backgrounds.</w:t>
      </w:r>
      <w:r w:rsidR="00D57A9A" w:rsidRPr="00D57A9A">
        <w:rPr>
          <w:rFonts w:ascii="Arial" w:hAnsi="Arial" w:cs="Arial"/>
          <w:sz w:val="22"/>
          <w:szCs w:val="22"/>
        </w:rPr>
        <w:t xml:space="preserve"> </w:t>
      </w:r>
      <w:r w:rsidRPr="00D57A9A">
        <w:rPr>
          <w:rFonts w:ascii="Arial" w:hAnsi="Arial" w:cs="Arial"/>
          <w:sz w:val="22"/>
          <w:szCs w:val="22"/>
        </w:rPr>
        <w:t>If you are interested in presenting at the 202</w:t>
      </w:r>
      <w:r w:rsidR="009A7831" w:rsidRPr="00D57A9A">
        <w:rPr>
          <w:rFonts w:ascii="Arial" w:hAnsi="Arial" w:cs="Arial"/>
          <w:sz w:val="22"/>
          <w:szCs w:val="22"/>
        </w:rPr>
        <w:t>7</w:t>
      </w:r>
      <w:r w:rsidRPr="00D57A9A">
        <w:rPr>
          <w:rFonts w:ascii="Arial" w:hAnsi="Arial" w:cs="Arial"/>
          <w:sz w:val="22"/>
          <w:szCs w:val="22"/>
        </w:rPr>
        <w:t xml:space="preserve"> Global Tax Symposium, please submit</w:t>
      </w:r>
      <w:r w:rsidR="006F1033" w:rsidRPr="00D57A9A">
        <w:rPr>
          <w:rFonts w:ascii="Arial" w:hAnsi="Arial" w:cs="Arial"/>
          <w:sz w:val="22"/>
          <w:szCs w:val="22"/>
        </w:rPr>
        <w:t xml:space="preserve"> </w:t>
      </w:r>
      <w:r w:rsidRPr="00D57A9A">
        <w:rPr>
          <w:rFonts w:ascii="Arial" w:hAnsi="Arial" w:cs="Arial"/>
          <w:sz w:val="22"/>
          <w:szCs w:val="22"/>
        </w:rPr>
        <w:t xml:space="preserve">the draft paper in Word or Adobe PDF format to </w:t>
      </w:r>
      <w:r w:rsidR="00D022DD">
        <w:rPr>
          <w:rFonts w:ascii="Arial" w:hAnsi="Arial" w:cs="Arial"/>
          <w:sz w:val="22"/>
          <w:szCs w:val="22"/>
        </w:rPr>
        <w:t xml:space="preserve">both </w:t>
      </w:r>
      <w:hyperlink r:id="rId6" w:history="1">
        <w:r w:rsidR="00D022DD" w:rsidRPr="008D6167">
          <w:rPr>
            <w:rStyle w:val="Hyperlink"/>
            <w:rFonts w:ascii="Arial" w:hAnsi="Arial" w:cs="Arial"/>
            <w:sz w:val="22"/>
            <w:szCs w:val="22"/>
          </w:rPr>
          <w:t>c.elliffe@auckland.ac.nz</w:t>
        </w:r>
      </w:hyperlink>
      <w:r w:rsidR="00D022DD">
        <w:rPr>
          <w:rFonts w:ascii="Arial" w:hAnsi="Arial" w:cs="Arial"/>
          <w:sz w:val="22"/>
          <w:szCs w:val="22"/>
        </w:rPr>
        <w:t xml:space="preserve"> and </w:t>
      </w:r>
      <w:hyperlink r:id="rId7" w:history="1">
        <w:r w:rsidR="00D022DD" w:rsidRPr="008D6167">
          <w:rPr>
            <w:rStyle w:val="Hyperlink"/>
            <w:rFonts w:ascii="Arial" w:hAnsi="Arial" w:cs="Arial"/>
            <w:sz w:val="22"/>
            <w:szCs w:val="22"/>
          </w:rPr>
          <w:t>victoria.plekhanova@auckland.ac.nz</w:t>
        </w:r>
      </w:hyperlink>
      <w:r w:rsidR="00D022DD">
        <w:rPr>
          <w:rFonts w:ascii="Arial" w:hAnsi="Arial" w:cs="Arial"/>
          <w:sz w:val="22"/>
          <w:szCs w:val="22"/>
        </w:rPr>
        <w:t xml:space="preserve"> .</w:t>
      </w:r>
    </w:p>
    <w:p w14:paraId="1C9D9A89" w14:textId="4FAA7E4F" w:rsidR="00A16B7B" w:rsidRPr="00D57A9A" w:rsidRDefault="00A16B7B" w:rsidP="00D57A9A">
      <w:pPr>
        <w:snapToGrid w:val="0"/>
        <w:spacing w:after="120"/>
        <w:jc w:val="both"/>
        <w:rPr>
          <w:rFonts w:ascii="Arial" w:hAnsi="Arial" w:cs="Arial"/>
          <w:sz w:val="22"/>
          <w:szCs w:val="22"/>
        </w:rPr>
      </w:pPr>
      <w:r w:rsidRPr="00D57A9A">
        <w:rPr>
          <w:rFonts w:ascii="Arial" w:hAnsi="Arial" w:cs="Arial"/>
          <w:sz w:val="22"/>
          <w:szCs w:val="22"/>
        </w:rPr>
        <w:t xml:space="preserve">The </w:t>
      </w:r>
      <w:r w:rsidR="00D022DD">
        <w:rPr>
          <w:rFonts w:ascii="Arial" w:hAnsi="Arial" w:cs="Arial"/>
          <w:sz w:val="22"/>
          <w:szCs w:val="22"/>
        </w:rPr>
        <w:t>submission deadline</w:t>
      </w:r>
      <w:r w:rsidRPr="00D57A9A">
        <w:rPr>
          <w:rFonts w:ascii="Arial" w:hAnsi="Arial" w:cs="Arial"/>
          <w:sz w:val="22"/>
          <w:szCs w:val="22"/>
        </w:rPr>
        <w:t xml:space="preserve"> is</w:t>
      </w:r>
      <w:r w:rsidR="009A7831" w:rsidRPr="00D57A9A">
        <w:rPr>
          <w:rFonts w:ascii="Arial" w:hAnsi="Arial" w:cs="Arial"/>
          <w:sz w:val="22"/>
          <w:szCs w:val="22"/>
        </w:rPr>
        <w:t xml:space="preserve"> 1 </w:t>
      </w:r>
      <w:r w:rsidR="006F1033" w:rsidRPr="00D57A9A">
        <w:rPr>
          <w:rFonts w:ascii="Arial" w:hAnsi="Arial" w:cs="Arial"/>
          <w:sz w:val="22"/>
          <w:szCs w:val="22"/>
        </w:rPr>
        <w:t xml:space="preserve">February </w:t>
      </w:r>
      <w:r w:rsidRPr="00D57A9A">
        <w:rPr>
          <w:rFonts w:ascii="Arial" w:hAnsi="Arial" w:cs="Arial"/>
          <w:sz w:val="22"/>
          <w:szCs w:val="22"/>
        </w:rPr>
        <w:t>202</w:t>
      </w:r>
      <w:r w:rsidR="009A7831" w:rsidRPr="00D57A9A">
        <w:rPr>
          <w:rFonts w:ascii="Arial" w:hAnsi="Arial" w:cs="Arial"/>
          <w:sz w:val="22"/>
          <w:szCs w:val="22"/>
        </w:rPr>
        <w:t>7</w:t>
      </w:r>
      <w:r w:rsidRPr="00D57A9A">
        <w:rPr>
          <w:rFonts w:ascii="Arial" w:hAnsi="Arial" w:cs="Arial"/>
          <w:sz w:val="22"/>
          <w:szCs w:val="22"/>
        </w:rPr>
        <w:t>. Authors of accepted papers will be notified by</w:t>
      </w:r>
      <w:r w:rsidR="006F1033" w:rsidRPr="00D57A9A">
        <w:rPr>
          <w:rFonts w:ascii="Arial" w:hAnsi="Arial" w:cs="Arial"/>
          <w:sz w:val="22"/>
          <w:szCs w:val="22"/>
        </w:rPr>
        <w:t xml:space="preserve"> </w:t>
      </w:r>
      <w:r w:rsidR="009A7831" w:rsidRPr="00D57A9A">
        <w:rPr>
          <w:rFonts w:ascii="Arial" w:hAnsi="Arial" w:cs="Arial"/>
          <w:sz w:val="22"/>
          <w:szCs w:val="22"/>
        </w:rPr>
        <w:t xml:space="preserve">1 </w:t>
      </w:r>
      <w:r w:rsidR="006F1033" w:rsidRPr="00D57A9A">
        <w:rPr>
          <w:rFonts w:ascii="Arial" w:hAnsi="Arial" w:cs="Arial"/>
          <w:sz w:val="22"/>
          <w:szCs w:val="22"/>
        </w:rPr>
        <w:t xml:space="preserve">April </w:t>
      </w:r>
      <w:r w:rsidRPr="00D57A9A">
        <w:rPr>
          <w:rFonts w:ascii="Arial" w:hAnsi="Arial" w:cs="Arial"/>
          <w:sz w:val="22"/>
          <w:szCs w:val="22"/>
        </w:rPr>
        <w:t>202</w:t>
      </w:r>
      <w:r w:rsidR="009A7831" w:rsidRPr="00D57A9A">
        <w:rPr>
          <w:rFonts w:ascii="Arial" w:hAnsi="Arial" w:cs="Arial"/>
          <w:sz w:val="22"/>
          <w:szCs w:val="22"/>
        </w:rPr>
        <w:t>7</w:t>
      </w:r>
      <w:r w:rsidRPr="00D57A9A">
        <w:rPr>
          <w:rFonts w:ascii="Arial" w:hAnsi="Arial" w:cs="Arial"/>
          <w:sz w:val="22"/>
          <w:szCs w:val="22"/>
        </w:rPr>
        <w:t>.</w:t>
      </w:r>
      <w:r w:rsidR="00D57A9A" w:rsidRPr="00D57A9A">
        <w:rPr>
          <w:rFonts w:ascii="Arial" w:hAnsi="Arial" w:cs="Arial"/>
          <w:sz w:val="22"/>
          <w:szCs w:val="22"/>
        </w:rPr>
        <w:t xml:space="preserve"> </w:t>
      </w:r>
      <w:r w:rsidRPr="00D57A9A">
        <w:rPr>
          <w:rFonts w:ascii="Arial" w:hAnsi="Arial" w:cs="Arial"/>
          <w:sz w:val="22"/>
          <w:szCs w:val="22"/>
        </w:rPr>
        <w:t>For past Global Tax Symposium sessions, please see the link below:</w:t>
      </w:r>
    </w:p>
    <w:p w14:paraId="346DE700" w14:textId="0F52F9ED" w:rsidR="00A16B7B" w:rsidRPr="00D57A9A" w:rsidRDefault="006F1033" w:rsidP="00D57A9A">
      <w:pPr>
        <w:snapToGrid w:val="0"/>
        <w:spacing w:after="120"/>
        <w:jc w:val="both"/>
        <w:rPr>
          <w:rFonts w:ascii="Arial" w:hAnsi="Arial" w:cs="Arial"/>
          <w:sz w:val="22"/>
          <w:szCs w:val="22"/>
        </w:rPr>
      </w:pPr>
      <w:hyperlink r:id="rId8" w:history="1">
        <w:r w:rsidRPr="00D57A9A">
          <w:rPr>
            <w:rStyle w:val="Hyperlink"/>
            <w:rFonts w:ascii="Arial" w:hAnsi="Arial" w:cs="Arial"/>
            <w:sz w:val="22"/>
            <w:szCs w:val="22"/>
          </w:rPr>
          <w:t>https://www.lse.ac.uk/law/research/taxation-global-tax-symposium</w:t>
        </w:r>
      </w:hyperlink>
    </w:p>
    <w:p w14:paraId="38324DE4" w14:textId="69F7947F" w:rsidR="006F1033" w:rsidRPr="00D57A9A" w:rsidRDefault="006F1033" w:rsidP="00D57A9A">
      <w:pPr>
        <w:snapToGrid w:val="0"/>
        <w:spacing w:after="120"/>
        <w:jc w:val="both"/>
        <w:rPr>
          <w:rFonts w:ascii="Arial" w:hAnsi="Arial" w:cs="Arial"/>
          <w:sz w:val="22"/>
          <w:szCs w:val="22"/>
        </w:rPr>
      </w:pPr>
    </w:p>
    <w:sectPr w:rsidR="006F1033" w:rsidRPr="00D57A9A" w:rsidSect="00D57A9A">
      <w:pgSz w:w="11906" w:h="16838"/>
      <w:pgMar w:top="1134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147BC"/>
    <w:multiLevelType w:val="hybridMultilevel"/>
    <w:tmpl w:val="78921DC4"/>
    <w:lvl w:ilvl="0" w:tplc="6A1638AE">
      <w:start w:val="1"/>
      <w:numFmt w:val="bullet"/>
      <w:lvlText w:val="•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A7B1E"/>
    <w:multiLevelType w:val="hybridMultilevel"/>
    <w:tmpl w:val="1A0A383C"/>
    <w:lvl w:ilvl="0" w:tplc="6A1638AE">
      <w:start w:val="1"/>
      <w:numFmt w:val="bullet"/>
      <w:lvlText w:val="•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C320CD"/>
    <w:multiLevelType w:val="hybridMultilevel"/>
    <w:tmpl w:val="B3C8ACFA"/>
    <w:lvl w:ilvl="0" w:tplc="92A67B1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855592">
    <w:abstractNumId w:val="1"/>
  </w:num>
  <w:num w:numId="2" w16cid:durableId="736441046">
    <w:abstractNumId w:val="0"/>
  </w:num>
  <w:num w:numId="3" w16cid:durableId="321666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13254196-A414-4327-9AFA-2A3AE66EED62}"/>
    <w:docVar w:name="dgnword-eventsink" w:val="2782988106640"/>
  </w:docVars>
  <w:rsids>
    <w:rsidRoot w:val="00F66A47"/>
    <w:rsid w:val="001263BF"/>
    <w:rsid w:val="001F2505"/>
    <w:rsid w:val="00321BA7"/>
    <w:rsid w:val="003724A8"/>
    <w:rsid w:val="0066077B"/>
    <w:rsid w:val="006F1033"/>
    <w:rsid w:val="008B294C"/>
    <w:rsid w:val="009A5D15"/>
    <w:rsid w:val="009A7831"/>
    <w:rsid w:val="00A15035"/>
    <w:rsid w:val="00A16B7B"/>
    <w:rsid w:val="00A835A1"/>
    <w:rsid w:val="00AD75E6"/>
    <w:rsid w:val="00BF0AF5"/>
    <w:rsid w:val="00CB6E83"/>
    <w:rsid w:val="00CC4506"/>
    <w:rsid w:val="00D022DD"/>
    <w:rsid w:val="00D57A9A"/>
    <w:rsid w:val="00EF2225"/>
    <w:rsid w:val="00F42554"/>
    <w:rsid w:val="00F6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41AE5"/>
  <w15:chartTrackingRefBased/>
  <w15:docId w15:val="{4D70D0B3-B790-1E47-8104-86B77699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6A47"/>
    <w:rPr>
      <w:color w:val="0563C1" w:themeColor="hyperlink"/>
      <w:u w:val="single"/>
    </w:rPr>
  </w:style>
  <w:style w:type="paragraph" w:styleId="ListParagraph">
    <w:name w:val="List Paragraph"/>
    <w:qFormat/>
    <w:rsid w:val="00A835A1"/>
    <w:rPr>
      <w:rFonts w:ascii="Arial" w:eastAsia="Arial" w:hAnsi="Arial" w:cs="Arial"/>
      <w:sz w:val="22"/>
      <w:szCs w:val="22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F103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42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se.ac.uk/law/research/taxation-global-tax-symposiu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ctoria.plekhanova@auckland.ac.n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.elliffe@auckland.ac.nz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Плеханова</dc:creator>
  <cp:keywords/>
  <dc:description/>
  <cp:lastModifiedBy>Craig Elliffe</cp:lastModifiedBy>
  <cp:revision>2</cp:revision>
  <dcterms:created xsi:type="dcterms:W3CDTF">2026-05-19T20:34:00Z</dcterms:created>
  <dcterms:modified xsi:type="dcterms:W3CDTF">2026-05-19T20:34:00Z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419cf70a-81ba-41fe-86da-dc71c92d0464</vt:lpwstr>
  </property>
</Properties>
</file>