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3142" w14:textId="3477E96E" w:rsidR="009E7388" w:rsidRDefault="00A944A5" w:rsidP="00A944A5">
      <w:pPr>
        <w:jc w:val="center"/>
        <w:rPr>
          <w:rFonts w:ascii="Palatino Linotype" w:hAnsi="Palatino Linotype"/>
          <w:b/>
          <w:bCs/>
        </w:rPr>
      </w:pPr>
      <w:r w:rsidRPr="00AF76BA">
        <w:rPr>
          <w:rFonts w:ascii="Palatino Linotype" w:hAnsi="Palatino Linotype"/>
          <w:b/>
          <w:bCs/>
        </w:rPr>
        <w:t>Intermediate verdicts in criminal justice and beyond</w:t>
      </w:r>
    </w:p>
    <w:p w14:paraId="774301FD" w14:textId="60B04FBA" w:rsidR="002C30BC" w:rsidRDefault="002C30BC" w:rsidP="00A944A5">
      <w:pPr>
        <w:jc w:val="center"/>
        <w:rPr>
          <w:rFonts w:ascii="Palatino Linotype" w:hAnsi="Palatino Linotype"/>
          <w:b/>
          <w:bCs/>
        </w:rPr>
      </w:pPr>
    </w:p>
    <w:p w14:paraId="66EF867B" w14:textId="2F9E7A04" w:rsidR="002C30BC" w:rsidRDefault="002C30BC" w:rsidP="00A944A5">
      <w:pPr>
        <w:jc w:val="center"/>
        <w:rPr>
          <w:rFonts w:ascii="Palatino Linotype" w:hAnsi="Palatino Linotype"/>
          <w:b/>
          <w:bCs/>
        </w:rPr>
      </w:pPr>
      <w:r>
        <w:rPr>
          <w:rFonts w:ascii="Palatino Linotype" w:hAnsi="Palatino Linotype"/>
          <w:b/>
          <w:bCs/>
        </w:rPr>
        <w:t>1</w:t>
      </w:r>
      <w:r w:rsidR="00183320">
        <w:rPr>
          <w:rFonts w:ascii="Palatino Linotype" w:hAnsi="Palatino Linotype"/>
          <w:b/>
          <w:bCs/>
        </w:rPr>
        <w:t>5</w:t>
      </w:r>
      <w:r>
        <w:rPr>
          <w:rFonts w:ascii="Palatino Linotype" w:hAnsi="Palatino Linotype"/>
          <w:b/>
          <w:bCs/>
        </w:rPr>
        <w:t xml:space="preserve"> March 2023</w:t>
      </w:r>
    </w:p>
    <w:p w14:paraId="28E9CFF1" w14:textId="6A26B9C8" w:rsidR="002C30BC" w:rsidRPr="00AF76BA" w:rsidRDefault="00183320" w:rsidP="00A944A5">
      <w:pPr>
        <w:jc w:val="center"/>
        <w:rPr>
          <w:rFonts w:ascii="Palatino Linotype" w:hAnsi="Palatino Linotype"/>
          <w:b/>
          <w:bCs/>
        </w:rPr>
      </w:pPr>
      <w:r>
        <w:rPr>
          <w:rFonts w:ascii="Palatino Linotype" w:hAnsi="Palatino Linotype"/>
          <w:b/>
          <w:bCs/>
        </w:rPr>
        <w:t>Vera Anstey Room</w:t>
      </w:r>
      <w:r w:rsidR="002C30BC">
        <w:rPr>
          <w:rFonts w:ascii="Palatino Linotype" w:hAnsi="Palatino Linotype"/>
          <w:b/>
          <w:bCs/>
        </w:rPr>
        <w:t xml:space="preserve">, </w:t>
      </w:r>
      <w:r>
        <w:rPr>
          <w:rFonts w:ascii="Palatino Linotype" w:hAnsi="Palatino Linotype"/>
          <w:b/>
          <w:bCs/>
        </w:rPr>
        <w:t>Old Building</w:t>
      </w:r>
      <w:r w:rsidR="002C30BC">
        <w:rPr>
          <w:rFonts w:ascii="Palatino Linotype" w:hAnsi="Palatino Linotype"/>
          <w:b/>
          <w:bCs/>
        </w:rPr>
        <w:t xml:space="preserve">, LSE </w:t>
      </w:r>
    </w:p>
    <w:p w14:paraId="155F1F44" w14:textId="7D3F357D" w:rsidR="00A944A5" w:rsidRPr="00AF76BA" w:rsidRDefault="00A944A5" w:rsidP="00A944A5">
      <w:pPr>
        <w:jc w:val="center"/>
        <w:rPr>
          <w:rFonts w:ascii="Palatino Linotype" w:hAnsi="Palatino Linotype"/>
          <w:b/>
          <w:bCs/>
        </w:rPr>
      </w:pPr>
    </w:p>
    <w:p w14:paraId="7CF3E8AE" w14:textId="1821C0E3" w:rsidR="00A944A5" w:rsidRPr="00AF76BA" w:rsidRDefault="00A944A5" w:rsidP="00AF76BA">
      <w:pPr>
        <w:jc w:val="both"/>
        <w:rPr>
          <w:rFonts w:ascii="Palatino Linotype" w:hAnsi="Palatino Linotype"/>
          <w:b/>
          <w:bCs/>
        </w:rPr>
      </w:pPr>
    </w:p>
    <w:p w14:paraId="3DB211E3" w14:textId="70AA1806" w:rsidR="00AF76BA" w:rsidRPr="00AF76BA" w:rsidRDefault="00AF76BA" w:rsidP="00AF76BA">
      <w:pPr>
        <w:jc w:val="both"/>
        <w:rPr>
          <w:rFonts w:ascii="Palatino Linotype" w:hAnsi="Palatino Linotype"/>
        </w:rPr>
      </w:pPr>
      <w:r w:rsidRPr="00AF76BA">
        <w:rPr>
          <w:rFonts w:ascii="Palatino Linotype" w:hAnsi="Palatino Linotype"/>
          <w:b/>
          <w:bCs/>
        </w:rPr>
        <w:t xml:space="preserve">8.30 </w:t>
      </w:r>
      <w:r w:rsidRPr="00AF76BA">
        <w:rPr>
          <w:rFonts w:ascii="Palatino Linotype" w:hAnsi="Palatino Linotype"/>
        </w:rPr>
        <w:t>– Coffee</w:t>
      </w:r>
    </w:p>
    <w:p w14:paraId="6933A9F6" w14:textId="7E0C2F89" w:rsidR="00AF76BA" w:rsidRPr="00AF76BA" w:rsidRDefault="00AF76BA" w:rsidP="00AF76BA">
      <w:pPr>
        <w:jc w:val="both"/>
        <w:rPr>
          <w:rFonts w:ascii="Palatino Linotype" w:hAnsi="Palatino Linotype"/>
          <w:b/>
          <w:bCs/>
        </w:rPr>
      </w:pPr>
    </w:p>
    <w:p w14:paraId="34888D90" w14:textId="4ED1F8C6"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9.00 </w:t>
      </w:r>
      <w:r w:rsidRPr="00AF76BA">
        <w:rPr>
          <w:rFonts w:ascii="Palatino Linotype" w:hAnsi="Palatino Linotype"/>
        </w:rPr>
        <w:t xml:space="preserve">– F. </w:t>
      </w:r>
      <w:proofErr w:type="spellStart"/>
      <w:r w:rsidRPr="00AF76BA">
        <w:rPr>
          <w:rFonts w:ascii="Palatino Linotype" w:hAnsi="Palatino Linotype"/>
        </w:rPr>
        <w:t>Picinali</w:t>
      </w:r>
      <w:proofErr w:type="spellEnd"/>
      <w:r w:rsidR="00F0405C">
        <w:rPr>
          <w:rFonts w:ascii="Palatino Linotype" w:hAnsi="Palatino Linotype"/>
        </w:rPr>
        <w:t xml:space="preserve"> (</w:t>
      </w:r>
      <w:r w:rsidR="00741B62">
        <w:rPr>
          <w:rFonts w:ascii="Palatino Linotype" w:hAnsi="Palatino Linotype"/>
        </w:rPr>
        <w:t>c</w:t>
      </w:r>
      <w:r w:rsidR="00F0405C">
        <w:rPr>
          <w:rFonts w:ascii="Palatino Linotype" w:hAnsi="Palatino Linotype"/>
        </w:rPr>
        <w:t>hair)</w:t>
      </w:r>
      <w:r w:rsidRPr="00AF76BA">
        <w:rPr>
          <w:rFonts w:ascii="Palatino Linotype" w:hAnsi="Palatino Linotype"/>
        </w:rPr>
        <w:t xml:space="preserve">: </w:t>
      </w:r>
      <w:r w:rsidRPr="004D6450">
        <w:rPr>
          <w:rFonts w:ascii="Palatino Linotype" w:hAnsi="Palatino Linotype"/>
          <w:i/>
          <w:iCs/>
        </w:rPr>
        <w:t>Welcome and introduction</w:t>
      </w:r>
    </w:p>
    <w:p w14:paraId="3187BF52" w14:textId="3FC38056" w:rsidR="00AF76BA" w:rsidRPr="00AF76BA" w:rsidRDefault="00AF76BA" w:rsidP="00AF76BA">
      <w:pPr>
        <w:jc w:val="both"/>
        <w:rPr>
          <w:rFonts w:ascii="Palatino Linotype" w:hAnsi="Palatino Linotype"/>
          <w:b/>
          <w:bCs/>
        </w:rPr>
      </w:pPr>
    </w:p>
    <w:p w14:paraId="4A1F2B06" w14:textId="1342051B" w:rsidR="00AF76BA" w:rsidRPr="004D6450" w:rsidRDefault="00AF76BA" w:rsidP="00AF76BA">
      <w:pPr>
        <w:jc w:val="both"/>
        <w:rPr>
          <w:rFonts w:ascii="Palatino Linotype" w:hAnsi="Palatino Linotype"/>
          <w:i/>
          <w:iCs/>
        </w:rPr>
      </w:pPr>
      <w:r w:rsidRPr="00AF76BA">
        <w:rPr>
          <w:rFonts w:ascii="Palatino Linotype" w:hAnsi="Palatino Linotype"/>
          <w:b/>
          <w:bCs/>
        </w:rPr>
        <w:t xml:space="preserve">9.30 </w:t>
      </w:r>
      <w:r w:rsidRPr="00AF76BA">
        <w:rPr>
          <w:rFonts w:ascii="Palatino Linotype" w:hAnsi="Palatino Linotype"/>
        </w:rPr>
        <w:t xml:space="preserve">– J. Chalmers, F. </w:t>
      </w:r>
      <w:proofErr w:type="spellStart"/>
      <w:r w:rsidRPr="00AF76BA">
        <w:rPr>
          <w:rFonts w:ascii="Palatino Linotype" w:hAnsi="Palatino Linotype"/>
        </w:rPr>
        <w:t>Leverick</w:t>
      </w:r>
      <w:proofErr w:type="spellEnd"/>
      <w:r w:rsidRPr="00AF76BA">
        <w:rPr>
          <w:rFonts w:ascii="Palatino Linotype" w:hAnsi="Palatino Linotype"/>
        </w:rPr>
        <w:t xml:space="preserve">, V. Munro: </w:t>
      </w:r>
      <w:r w:rsidRPr="004D6450">
        <w:rPr>
          <w:rFonts w:ascii="Palatino Linotype" w:hAnsi="Palatino Linotype" w:cs="Calibri"/>
          <w:i/>
          <w:iCs/>
          <w:color w:val="000000"/>
        </w:rPr>
        <w:t>The Case Against Scotland’s ‘Not Proven’ Verdict</w:t>
      </w:r>
    </w:p>
    <w:p w14:paraId="63E12A12" w14:textId="5017E0A9" w:rsidR="00AF76BA" w:rsidRPr="00AF76BA" w:rsidRDefault="00AF76BA" w:rsidP="00AF76BA">
      <w:pPr>
        <w:jc w:val="both"/>
        <w:rPr>
          <w:rFonts w:ascii="Palatino Linotype" w:hAnsi="Palatino Linotype"/>
          <w:b/>
          <w:bCs/>
        </w:rPr>
      </w:pPr>
    </w:p>
    <w:p w14:paraId="3F12915B" w14:textId="5E060E5D"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10.30 </w:t>
      </w:r>
      <w:r w:rsidRPr="00AF76BA">
        <w:rPr>
          <w:rFonts w:ascii="Palatino Linotype" w:hAnsi="Palatino Linotype"/>
          <w:color w:val="000000" w:themeColor="text1"/>
        </w:rPr>
        <w:t xml:space="preserve">– Y. Rabin and Y. </w:t>
      </w:r>
      <w:proofErr w:type="spellStart"/>
      <w:r w:rsidRPr="00AF76BA">
        <w:rPr>
          <w:rFonts w:ascii="Palatino Linotype" w:hAnsi="Palatino Linotype"/>
          <w:color w:val="000000" w:themeColor="text1"/>
        </w:rPr>
        <w:t>Vaki</w:t>
      </w:r>
      <w:proofErr w:type="spellEnd"/>
      <w:r w:rsidRPr="00AF76BA">
        <w:rPr>
          <w:rFonts w:ascii="Palatino Linotype" w:hAnsi="Palatino Linotype"/>
          <w:color w:val="000000" w:themeColor="text1"/>
        </w:rPr>
        <w:t xml:space="preserve">: </w:t>
      </w:r>
      <w:r w:rsidRPr="004D6450">
        <w:rPr>
          <w:rFonts w:ascii="Palatino Linotype" w:hAnsi="Palatino Linotype" w:cs="Calibri"/>
          <w:i/>
          <w:iCs/>
          <w:color w:val="000000" w:themeColor="text1"/>
        </w:rPr>
        <w:t>The Israeli Intermediate Verdict: Its Jurisprudence, Implications and Frequent Use in Practice</w:t>
      </w:r>
    </w:p>
    <w:p w14:paraId="76F641E0" w14:textId="604A3671" w:rsidR="00AF76BA" w:rsidRPr="00AF76BA" w:rsidRDefault="00AF76BA" w:rsidP="00AF76BA">
      <w:pPr>
        <w:jc w:val="both"/>
        <w:rPr>
          <w:rFonts w:ascii="Palatino Linotype" w:hAnsi="Palatino Linotype"/>
          <w:b/>
          <w:bCs/>
        </w:rPr>
      </w:pPr>
    </w:p>
    <w:p w14:paraId="1A1787DC" w14:textId="3859796C" w:rsidR="00AF76BA" w:rsidRPr="00AF76BA" w:rsidRDefault="00AF76BA" w:rsidP="00AF76BA">
      <w:pPr>
        <w:jc w:val="both"/>
        <w:rPr>
          <w:rFonts w:ascii="Palatino Linotype" w:hAnsi="Palatino Linotype"/>
        </w:rPr>
      </w:pPr>
      <w:r w:rsidRPr="00AF76BA">
        <w:rPr>
          <w:rFonts w:ascii="Palatino Linotype" w:hAnsi="Palatino Linotype"/>
          <w:b/>
          <w:bCs/>
        </w:rPr>
        <w:t xml:space="preserve">11.30 – </w:t>
      </w:r>
      <w:r w:rsidRPr="00AF76BA">
        <w:rPr>
          <w:rFonts w:ascii="Palatino Linotype" w:hAnsi="Palatino Linotype"/>
        </w:rPr>
        <w:t>Coffee break</w:t>
      </w:r>
    </w:p>
    <w:p w14:paraId="2F92F018" w14:textId="33118496" w:rsidR="00AF76BA" w:rsidRPr="00AF76BA" w:rsidRDefault="00AF76BA" w:rsidP="00AF76BA">
      <w:pPr>
        <w:jc w:val="both"/>
        <w:rPr>
          <w:rFonts w:ascii="Palatino Linotype" w:hAnsi="Palatino Linotype"/>
          <w:b/>
          <w:bCs/>
        </w:rPr>
      </w:pPr>
    </w:p>
    <w:p w14:paraId="42184D5A" w14:textId="738FEB72" w:rsidR="00AF76BA" w:rsidRPr="00AF76BA" w:rsidRDefault="00AF76BA" w:rsidP="00AF76BA">
      <w:pPr>
        <w:jc w:val="both"/>
        <w:rPr>
          <w:rFonts w:ascii="Palatino Linotype" w:hAnsi="Palatino Linotype"/>
        </w:rPr>
      </w:pPr>
      <w:r w:rsidRPr="00AF76BA">
        <w:rPr>
          <w:rFonts w:ascii="Palatino Linotype" w:hAnsi="Palatino Linotype"/>
          <w:b/>
          <w:bCs/>
        </w:rPr>
        <w:t xml:space="preserve">11.45 </w:t>
      </w:r>
      <w:r w:rsidRPr="00AF76BA">
        <w:rPr>
          <w:rFonts w:ascii="Palatino Linotype" w:hAnsi="Palatino Linotype"/>
        </w:rPr>
        <w:t xml:space="preserve">– A. </w:t>
      </w:r>
      <w:proofErr w:type="spellStart"/>
      <w:r w:rsidRPr="00AF76BA">
        <w:rPr>
          <w:rFonts w:ascii="Palatino Linotype" w:hAnsi="Palatino Linotype"/>
        </w:rPr>
        <w:t>Pundik</w:t>
      </w:r>
      <w:proofErr w:type="spellEnd"/>
      <w:r w:rsidRPr="00AF76BA">
        <w:rPr>
          <w:rFonts w:ascii="Palatino Linotype" w:hAnsi="Palatino Linotype"/>
        </w:rPr>
        <w:t xml:space="preserve">: </w:t>
      </w:r>
      <w:r w:rsidRPr="004D6450">
        <w:rPr>
          <w:rFonts w:ascii="Palatino Linotype" w:hAnsi="Palatino Linotype" w:cs="Calibri"/>
          <w:i/>
          <w:iCs/>
          <w:color w:val="000000"/>
        </w:rPr>
        <w:t>Adding a Third Verdict to Reduce the Risk of False Conviction</w:t>
      </w:r>
    </w:p>
    <w:p w14:paraId="30DA993A" w14:textId="4D351E56" w:rsidR="00AF76BA" w:rsidRPr="00AF76BA" w:rsidRDefault="00AF76BA" w:rsidP="00AF76BA">
      <w:pPr>
        <w:jc w:val="both"/>
        <w:rPr>
          <w:rFonts w:ascii="Palatino Linotype" w:hAnsi="Palatino Linotype"/>
        </w:rPr>
      </w:pPr>
    </w:p>
    <w:p w14:paraId="09D9A209" w14:textId="24AEF520"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12.45 </w:t>
      </w:r>
      <w:r w:rsidRPr="00AF76BA">
        <w:rPr>
          <w:rFonts w:ascii="Palatino Linotype" w:hAnsi="Palatino Linotype"/>
        </w:rPr>
        <w:t>– Lunch</w:t>
      </w:r>
      <w:r w:rsidR="00865CF0">
        <w:rPr>
          <w:rFonts w:ascii="Palatino Linotype" w:hAnsi="Palatino Linotype"/>
        </w:rPr>
        <w:t xml:space="preserve"> break</w:t>
      </w:r>
    </w:p>
    <w:p w14:paraId="7222BE5E" w14:textId="39EDFF6E" w:rsidR="00AF76BA" w:rsidRPr="00AF76BA" w:rsidRDefault="00AF76BA" w:rsidP="00AF76BA">
      <w:pPr>
        <w:jc w:val="both"/>
        <w:rPr>
          <w:rFonts w:ascii="Palatino Linotype" w:hAnsi="Palatino Linotype"/>
          <w:b/>
          <w:bCs/>
        </w:rPr>
      </w:pPr>
    </w:p>
    <w:p w14:paraId="6E29FF31" w14:textId="36F3F02A" w:rsidR="00300710" w:rsidRPr="004907D7" w:rsidRDefault="00AF76BA" w:rsidP="00300710">
      <w:pPr>
        <w:autoSpaceDE w:val="0"/>
        <w:autoSpaceDN w:val="0"/>
        <w:adjustRightInd w:val="0"/>
        <w:rPr>
          <w:rFonts w:asciiTheme="minorBidi" w:eastAsia="CharisSIL" w:hAnsiTheme="minorBidi"/>
          <w:b/>
          <w:bCs/>
          <w:vertAlign w:val="subscript"/>
          <w:lang w:val="en-US"/>
        </w:rPr>
      </w:pPr>
      <w:r w:rsidRPr="00AF76BA">
        <w:rPr>
          <w:rFonts w:ascii="Palatino Linotype" w:hAnsi="Palatino Linotype"/>
          <w:b/>
          <w:bCs/>
        </w:rPr>
        <w:t xml:space="preserve">14.00 </w:t>
      </w:r>
      <w:r w:rsidRPr="00AF76BA">
        <w:rPr>
          <w:rFonts w:ascii="Palatino Linotype" w:hAnsi="Palatino Linotype"/>
        </w:rPr>
        <w:t xml:space="preserve">– M. </w:t>
      </w:r>
      <w:proofErr w:type="spellStart"/>
      <w:r w:rsidRPr="00AF76BA">
        <w:rPr>
          <w:rFonts w:ascii="Palatino Linotype" w:hAnsi="Palatino Linotype"/>
        </w:rPr>
        <w:t>Barneron</w:t>
      </w:r>
      <w:proofErr w:type="spellEnd"/>
      <w:r w:rsidRPr="00AF76BA">
        <w:rPr>
          <w:rFonts w:ascii="Palatino Linotype" w:hAnsi="Palatino Linotype"/>
        </w:rPr>
        <w:t xml:space="preserve">: </w:t>
      </w:r>
      <w:r w:rsidR="00300710" w:rsidRPr="00300710">
        <w:rPr>
          <w:rFonts w:ascii="Palatino Linotype" w:eastAsia="CharisSIL" w:hAnsi="Palatino Linotype"/>
          <w:i/>
          <w:iCs/>
          <w:lang w:val="en-US"/>
        </w:rPr>
        <w:t>The Powerful Influence of Third Alternatives on Social Decision-Making: Theory and Evidence from Controlled Experiments</w:t>
      </w:r>
    </w:p>
    <w:p w14:paraId="465F3B9E" w14:textId="4E7EF0FE" w:rsidR="00AF76BA" w:rsidRPr="00AF76BA" w:rsidRDefault="00AF76BA" w:rsidP="00AF76BA">
      <w:pPr>
        <w:jc w:val="both"/>
        <w:rPr>
          <w:rFonts w:ascii="Palatino Linotype" w:hAnsi="Palatino Linotype"/>
          <w:b/>
          <w:bCs/>
        </w:rPr>
      </w:pPr>
    </w:p>
    <w:p w14:paraId="76F01CE2" w14:textId="75C6CCA4" w:rsidR="00AF76BA" w:rsidRPr="00AF76BA" w:rsidRDefault="00AF76BA" w:rsidP="00AF76BA">
      <w:pPr>
        <w:jc w:val="both"/>
        <w:rPr>
          <w:rFonts w:ascii="Palatino Linotype" w:hAnsi="Palatino Linotype"/>
        </w:rPr>
      </w:pPr>
      <w:r w:rsidRPr="00AF76BA">
        <w:rPr>
          <w:rFonts w:ascii="Palatino Linotype" w:hAnsi="Palatino Linotype"/>
          <w:b/>
          <w:bCs/>
        </w:rPr>
        <w:t xml:space="preserve">15.00 </w:t>
      </w:r>
      <w:r w:rsidRPr="00AF76BA">
        <w:rPr>
          <w:rFonts w:ascii="Palatino Linotype" w:hAnsi="Palatino Linotype"/>
        </w:rPr>
        <w:t xml:space="preserve">– G. </w:t>
      </w:r>
      <w:proofErr w:type="spellStart"/>
      <w:r w:rsidRPr="00AF76BA">
        <w:rPr>
          <w:rFonts w:ascii="Palatino Linotype" w:hAnsi="Palatino Linotype"/>
        </w:rPr>
        <w:t>Tuzet</w:t>
      </w:r>
      <w:proofErr w:type="spellEnd"/>
      <w:r w:rsidRPr="00AF76BA">
        <w:rPr>
          <w:rFonts w:ascii="Palatino Linotype" w:hAnsi="Palatino Linotype"/>
        </w:rPr>
        <w:t xml:space="preserve">: </w:t>
      </w:r>
      <w:r w:rsidRPr="004D6450">
        <w:rPr>
          <w:rFonts w:ascii="Palatino Linotype" w:hAnsi="Palatino Linotype"/>
          <w:i/>
          <w:iCs/>
        </w:rPr>
        <w:t xml:space="preserve">Proportional </w:t>
      </w:r>
      <w:r w:rsidR="00E816E0" w:rsidRPr="004D6450">
        <w:rPr>
          <w:rFonts w:ascii="Palatino Linotype" w:hAnsi="Palatino Linotype"/>
          <w:i/>
          <w:iCs/>
        </w:rPr>
        <w:t>A</w:t>
      </w:r>
      <w:r w:rsidRPr="004D6450">
        <w:rPr>
          <w:rFonts w:ascii="Palatino Linotype" w:hAnsi="Palatino Linotype"/>
          <w:i/>
          <w:iCs/>
        </w:rPr>
        <w:t xml:space="preserve">djudication and its </w:t>
      </w:r>
      <w:r w:rsidR="00E816E0" w:rsidRPr="004D6450">
        <w:rPr>
          <w:rFonts w:ascii="Palatino Linotype" w:hAnsi="Palatino Linotype"/>
          <w:i/>
          <w:iCs/>
        </w:rPr>
        <w:t>D</w:t>
      </w:r>
      <w:r w:rsidRPr="004D6450">
        <w:rPr>
          <w:rFonts w:ascii="Palatino Linotype" w:hAnsi="Palatino Linotype"/>
          <w:i/>
          <w:iCs/>
        </w:rPr>
        <w:t>iscontents</w:t>
      </w:r>
    </w:p>
    <w:p w14:paraId="12C8AD6C" w14:textId="37B1B99D" w:rsidR="00AF76BA" w:rsidRPr="00AF76BA" w:rsidRDefault="00AF76BA" w:rsidP="00AF76BA">
      <w:pPr>
        <w:jc w:val="both"/>
        <w:rPr>
          <w:rFonts w:ascii="Palatino Linotype" w:hAnsi="Palatino Linotype"/>
        </w:rPr>
      </w:pPr>
    </w:p>
    <w:p w14:paraId="382A8A69" w14:textId="72290C01" w:rsidR="00AF76BA" w:rsidRPr="00AF76BA" w:rsidRDefault="00AF76BA" w:rsidP="00AF76BA">
      <w:pPr>
        <w:jc w:val="both"/>
        <w:rPr>
          <w:rFonts w:ascii="Palatino Linotype" w:hAnsi="Palatino Linotype"/>
          <w:b/>
          <w:bCs/>
        </w:rPr>
      </w:pPr>
      <w:r w:rsidRPr="00AF76BA">
        <w:rPr>
          <w:rFonts w:ascii="Palatino Linotype" w:hAnsi="Palatino Linotype"/>
          <w:b/>
          <w:bCs/>
        </w:rPr>
        <w:t xml:space="preserve">16.00 </w:t>
      </w:r>
      <w:r w:rsidRPr="00AF76BA">
        <w:rPr>
          <w:rFonts w:ascii="Palatino Linotype" w:hAnsi="Palatino Linotype"/>
        </w:rPr>
        <w:t>– Coffee break</w:t>
      </w:r>
    </w:p>
    <w:p w14:paraId="2BBE6A97" w14:textId="430BEFCF" w:rsidR="00AF76BA" w:rsidRPr="00AF76BA" w:rsidRDefault="00AF76BA" w:rsidP="00AF76BA">
      <w:pPr>
        <w:jc w:val="both"/>
        <w:rPr>
          <w:rFonts w:ascii="Palatino Linotype" w:hAnsi="Palatino Linotype"/>
          <w:b/>
          <w:bCs/>
        </w:rPr>
      </w:pPr>
    </w:p>
    <w:p w14:paraId="3BFBA095" w14:textId="2E52BA28" w:rsidR="00AF76BA" w:rsidRDefault="00AF76BA" w:rsidP="00AF76BA">
      <w:pPr>
        <w:jc w:val="both"/>
        <w:rPr>
          <w:rFonts w:ascii="Palatino Linotype" w:hAnsi="Palatino Linotype"/>
        </w:rPr>
      </w:pPr>
      <w:r w:rsidRPr="00AF76BA">
        <w:rPr>
          <w:rFonts w:ascii="Palatino Linotype" w:hAnsi="Palatino Linotype"/>
          <w:b/>
          <w:bCs/>
        </w:rPr>
        <w:t>16.15</w:t>
      </w:r>
      <w:r w:rsidR="007A1A0A">
        <w:rPr>
          <w:rFonts w:ascii="Palatino Linotype" w:hAnsi="Palatino Linotype"/>
          <w:b/>
          <w:bCs/>
        </w:rPr>
        <w:t>-17.15</w:t>
      </w:r>
      <w:r w:rsidRPr="00AF76BA">
        <w:rPr>
          <w:rFonts w:ascii="Palatino Linotype" w:hAnsi="Palatino Linotype"/>
          <w:b/>
          <w:bCs/>
        </w:rPr>
        <w:t xml:space="preserve"> </w:t>
      </w:r>
      <w:r w:rsidRPr="00AF76BA">
        <w:rPr>
          <w:rFonts w:ascii="Palatino Linotype" w:hAnsi="Palatino Linotype"/>
        </w:rPr>
        <w:t>– Discussion</w:t>
      </w:r>
    </w:p>
    <w:p w14:paraId="36BC5697" w14:textId="7252B253" w:rsidR="004D6450" w:rsidRDefault="004D6450" w:rsidP="00AF76BA">
      <w:pPr>
        <w:jc w:val="both"/>
        <w:rPr>
          <w:rFonts w:ascii="Palatino Linotype" w:hAnsi="Palatino Linotype"/>
        </w:rPr>
      </w:pPr>
    </w:p>
    <w:p w14:paraId="69900154" w14:textId="118311DA" w:rsidR="004D6450" w:rsidRDefault="004D6450" w:rsidP="00AF76BA">
      <w:pPr>
        <w:jc w:val="both"/>
        <w:rPr>
          <w:rFonts w:ascii="Palatino Linotype" w:hAnsi="Palatino Linotype"/>
          <w:i/>
          <w:iCs/>
        </w:rPr>
      </w:pPr>
      <w:r>
        <w:rPr>
          <w:rFonts w:ascii="Palatino Linotype" w:hAnsi="Palatino Linotype"/>
          <w:i/>
          <w:iCs/>
        </w:rPr>
        <w:t xml:space="preserve">All talks will last 25 minutes and will be followed by </w:t>
      </w:r>
      <w:r w:rsidR="00E16835">
        <w:rPr>
          <w:rFonts w:ascii="Palatino Linotype" w:hAnsi="Palatino Linotype"/>
          <w:i/>
          <w:iCs/>
        </w:rPr>
        <w:t xml:space="preserve">a </w:t>
      </w:r>
      <w:r>
        <w:rPr>
          <w:rFonts w:ascii="Palatino Linotype" w:hAnsi="Palatino Linotype"/>
          <w:i/>
          <w:iCs/>
        </w:rPr>
        <w:t>30</w:t>
      </w:r>
      <w:r w:rsidR="00E16835">
        <w:rPr>
          <w:rFonts w:ascii="Palatino Linotype" w:hAnsi="Palatino Linotype"/>
          <w:i/>
          <w:iCs/>
        </w:rPr>
        <w:t>-</w:t>
      </w:r>
      <w:r>
        <w:rPr>
          <w:rFonts w:ascii="Palatino Linotype" w:hAnsi="Palatino Linotype"/>
          <w:i/>
          <w:iCs/>
        </w:rPr>
        <w:t>minute discussion.</w:t>
      </w:r>
    </w:p>
    <w:p w14:paraId="4D147761" w14:textId="25349BAE" w:rsidR="0061688B" w:rsidRDefault="0061688B" w:rsidP="00AF76BA">
      <w:pPr>
        <w:jc w:val="both"/>
        <w:rPr>
          <w:rFonts w:ascii="Palatino Linotype" w:hAnsi="Palatino Linotype"/>
          <w:i/>
          <w:iCs/>
        </w:rPr>
      </w:pPr>
    </w:p>
    <w:p w14:paraId="6E453B13" w14:textId="70F83213" w:rsidR="0061688B" w:rsidRDefault="0061688B" w:rsidP="00AF76BA">
      <w:pPr>
        <w:jc w:val="both"/>
        <w:rPr>
          <w:rFonts w:ascii="Palatino Linotype" w:hAnsi="Palatino Linotype"/>
          <w:i/>
          <w:iCs/>
        </w:rPr>
      </w:pPr>
    </w:p>
    <w:p w14:paraId="7CA5EB93" w14:textId="6B3466FE" w:rsidR="0061688B" w:rsidRDefault="0061688B" w:rsidP="00AF76BA">
      <w:pPr>
        <w:jc w:val="both"/>
        <w:rPr>
          <w:rFonts w:ascii="Palatino Linotype" w:hAnsi="Palatino Linotype"/>
          <w:b/>
          <w:bCs/>
        </w:rPr>
      </w:pPr>
      <w:r>
        <w:rPr>
          <w:rFonts w:ascii="Palatino Linotype" w:hAnsi="Palatino Linotype"/>
          <w:b/>
          <w:bCs/>
        </w:rPr>
        <w:t>Abstracts</w:t>
      </w:r>
    </w:p>
    <w:p w14:paraId="546004ED" w14:textId="02A9CC3F" w:rsidR="0061688B" w:rsidRDefault="0061688B" w:rsidP="00AF76BA">
      <w:pPr>
        <w:jc w:val="both"/>
        <w:rPr>
          <w:rFonts w:ascii="Palatino Linotype" w:hAnsi="Palatino Linotype"/>
          <w:b/>
          <w:bCs/>
        </w:rPr>
      </w:pPr>
    </w:p>
    <w:p w14:paraId="0BE26639" w14:textId="2DA21227" w:rsidR="00226BF3" w:rsidRDefault="00226BF3" w:rsidP="00226BF3">
      <w:pPr>
        <w:jc w:val="both"/>
        <w:rPr>
          <w:rFonts w:ascii="Palatino Linotype" w:hAnsi="Palatino Linotype" w:cs="Calibri"/>
          <w:i/>
          <w:iCs/>
          <w:color w:val="000000"/>
        </w:rPr>
      </w:pPr>
      <w:r w:rsidRPr="00AF76BA">
        <w:rPr>
          <w:rFonts w:ascii="Palatino Linotype" w:hAnsi="Palatino Linotype"/>
        </w:rPr>
        <w:t xml:space="preserve">J. Chalmers, F. </w:t>
      </w:r>
      <w:proofErr w:type="spellStart"/>
      <w:r w:rsidRPr="00AF76BA">
        <w:rPr>
          <w:rFonts w:ascii="Palatino Linotype" w:hAnsi="Palatino Linotype"/>
        </w:rPr>
        <w:t>Leverick</w:t>
      </w:r>
      <w:proofErr w:type="spellEnd"/>
      <w:r w:rsidRPr="00AF76BA">
        <w:rPr>
          <w:rFonts w:ascii="Palatino Linotype" w:hAnsi="Palatino Linotype"/>
        </w:rPr>
        <w:t xml:space="preserve">, V. Munro: </w:t>
      </w:r>
      <w:r w:rsidRPr="004D6450">
        <w:rPr>
          <w:rFonts w:ascii="Palatino Linotype" w:hAnsi="Palatino Linotype" w:cs="Calibri"/>
          <w:i/>
          <w:iCs/>
          <w:color w:val="000000"/>
        </w:rPr>
        <w:t>The Case Against Scotland’s ‘Not Proven’ Verdict</w:t>
      </w:r>
    </w:p>
    <w:p w14:paraId="3D9F2933" w14:textId="1DFC6ADD" w:rsidR="00226BF3" w:rsidRDefault="00226BF3" w:rsidP="00226BF3">
      <w:pPr>
        <w:jc w:val="both"/>
        <w:rPr>
          <w:rFonts w:ascii="Palatino Linotype" w:hAnsi="Palatino Linotype" w:cs="Calibri"/>
          <w:i/>
          <w:iCs/>
          <w:color w:val="000000"/>
        </w:rPr>
      </w:pPr>
    </w:p>
    <w:p w14:paraId="779C51E2" w14:textId="7C6D4777" w:rsidR="00226BF3" w:rsidRPr="00683B4D" w:rsidRDefault="004C4A9F" w:rsidP="00683B4D">
      <w:pPr>
        <w:jc w:val="both"/>
        <w:rPr>
          <w:rFonts w:ascii="Palatino Linotype" w:hAnsi="Palatino Linotype" w:cs="Calibri"/>
          <w:color w:val="000000"/>
          <w:sz w:val="20"/>
          <w:szCs w:val="20"/>
        </w:rPr>
      </w:pPr>
      <w:r w:rsidRPr="00683B4D">
        <w:rPr>
          <w:rFonts w:ascii="Palatino Linotype" w:hAnsi="Palatino Linotype" w:cs="Calibri"/>
          <w:color w:val="000000"/>
          <w:sz w:val="20"/>
          <w:szCs w:val="20"/>
        </w:rPr>
        <w:t xml:space="preserve">Scotland, unusually, has three verdicts in criminal trials: guilty, not guilty, and not proven. The not proven verdict, regarded by many as an intermediate option between the other two, has been the subject of a long-running debate as to whether it should be abolished. We argue that it should. Drawing on empirical evidence from two recent studies, we cast doubt on the arguments most often made in its favour – that it serves a valuable communicative function, protects against wrongful conviction, and/or increases juror satisfaction. There is no consensus on its meaning or appropriate application in any </w:t>
      </w:r>
      <w:r w:rsidRPr="00683B4D">
        <w:rPr>
          <w:rFonts w:ascii="Palatino Linotype" w:hAnsi="Palatino Linotype" w:cs="Calibri"/>
          <w:color w:val="000000"/>
          <w:sz w:val="20"/>
          <w:szCs w:val="20"/>
        </w:rPr>
        <w:lastRenderedPageBreak/>
        <w:t>given case, and it risks both stigmatising an acquitted accused and diminishing complainers’ opportunities for closure. It is doubtful that it prevents wrongful conviction, but even if it does, there are more effective measures in this regard.</w:t>
      </w:r>
    </w:p>
    <w:p w14:paraId="075B8995" w14:textId="5DB9DB97" w:rsidR="004C4A9F" w:rsidRPr="00683B4D" w:rsidRDefault="004C4A9F" w:rsidP="00683B4D">
      <w:pPr>
        <w:jc w:val="both"/>
        <w:rPr>
          <w:rFonts w:ascii="Palatino Linotype" w:hAnsi="Palatino Linotype" w:cs="Calibri"/>
          <w:color w:val="000000"/>
          <w:sz w:val="20"/>
          <w:szCs w:val="20"/>
        </w:rPr>
      </w:pPr>
    </w:p>
    <w:p w14:paraId="3E2A0E1E" w14:textId="6FACCC5C" w:rsidR="004C4A9F" w:rsidRDefault="004C4A9F" w:rsidP="00226BF3">
      <w:pPr>
        <w:jc w:val="both"/>
        <w:rPr>
          <w:rFonts w:ascii="Palatino Linotype" w:hAnsi="Palatino Linotype" w:cs="Calibri"/>
          <w:i/>
          <w:iCs/>
          <w:color w:val="000000"/>
        </w:rPr>
      </w:pPr>
    </w:p>
    <w:p w14:paraId="5328E65F" w14:textId="77777777" w:rsidR="009803B5" w:rsidRDefault="009803B5" w:rsidP="00226BF3">
      <w:pPr>
        <w:jc w:val="both"/>
        <w:rPr>
          <w:rFonts w:ascii="Palatino Linotype" w:hAnsi="Palatino Linotype" w:cs="Calibri"/>
          <w:i/>
          <w:iCs/>
          <w:color w:val="000000"/>
        </w:rPr>
      </w:pPr>
    </w:p>
    <w:p w14:paraId="28F34136" w14:textId="3929E17B" w:rsidR="00226BF3" w:rsidRDefault="00226BF3" w:rsidP="00226BF3">
      <w:pPr>
        <w:jc w:val="both"/>
        <w:rPr>
          <w:rFonts w:ascii="Palatino Linotype" w:hAnsi="Palatino Linotype" w:cs="Calibri"/>
          <w:i/>
          <w:iCs/>
          <w:color w:val="000000" w:themeColor="text1"/>
        </w:rPr>
      </w:pPr>
      <w:r w:rsidRPr="00AF76BA">
        <w:rPr>
          <w:rFonts w:ascii="Palatino Linotype" w:hAnsi="Palatino Linotype"/>
          <w:color w:val="000000" w:themeColor="text1"/>
        </w:rPr>
        <w:t xml:space="preserve">Y. Rabin and Y. </w:t>
      </w:r>
      <w:proofErr w:type="spellStart"/>
      <w:r w:rsidRPr="00AF76BA">
        <w:rPr>
          <w:rFonts w:ascii="Palatino Linotype" w:hAnsi="Palatino Linotype"/>
          <w:color w:val="000000" w:themeColor="text1"/>
        </w:rPr>
        <w:t>Vaki</w:t>
      </w:r>
      <w:proofErr w:type="spellEnd"/>
      <w:r w:rsidRPr="00AF76BA">
        <w:rPr>
          <w:rFonts w:ascii="Palatino Linotype" w:hAnsi="Palatino Linotype"/>
          <w:color w:val="000000" w:themeColor="text1"/>
        </w:rPr>
        <w:t xml:space="preserve">: </w:t>
      </w:r>
      <w:r w:rsidRPr="004D6450">
        <w:rPr>
          <w:rFonts w:ascii="Palatino Linotype" w:hAnsi="Palatino Linotype" w:cs="Calibri"/>
          <w:i/>
          <w:iCs/>
          <w:color w:val="000000" w:themeColor="text1"/>
        </w:rPr>
        <w:t>The Israeli Intermediate Verdict: Its Jurisprudence, Implications and Frequent Use in Practice</w:t>
      </w:r>
    </w:p>
    <w:p w14:paraId="16BC0527" w14:textId="461E5800" w:rsidR="004C4A9F" w:rsidRDefault="004C4A9F" w:rsidP="00226BF3">
      <w:pPr>
        <w:jc w:val="both"/>
        <w:rPr>
          <w:rFonts w:ascii="Palatino Linotype" w:hAnsi="Palatino Linotype" w:cs="Calibri"/>
          <w:i/>
          <w:iCs/>
          <w:color w:val="000000" w:themeColor="text1"/>
        </w:rPr>
      </w:pPr>
    </w:p>
    <w:p w14:paraId="67E8714C" w14:textId="2F939200" w:rsidR="004C4A9F" w:rsidRPr="00683B4D" w:rsidRDefault="004C4A9F" w:rsidP="004C4A9F">
      <w:pPr>
        <w:jc w:val="both"/>
        <w:rPr>
          <w:rFonts w:ascii="Palatino Linotype" w:hAnsi="Palatino Linotype" w:cstheme="majorBidi"/>
          <w:sz w:val="20"/>
          <w:szCs w:val="20"/>
        </w:rPr>
      </w:pPr>
      <w:r w:rsidRPr="00683B4D">
        <w:rPr>
          <w:rFonts w:ascii="Palatino Linotype" w:hAnsi="Palatino Linotype" w:cstheme="majorBidi"/>
          <w:sz w:val="20"/>
          <w:szCs w:val="20"/>
        </w:rPr>
        <w:t xml:space="preserve">In most common law jurisdictions, a trial ends with a verdict of either an acquittal or a conviction. By contrast, in Scotland and Israel, a trial might also end with a third alternative: a verdict </w:t>
      </w:r>
      <w:r w:rsidRPr="009320A5">
        <w:rPr>
          <w:rFonts w:ascii="Palatino Linotype" w:hAnsi="Palatino Linotype" w:cstheme="majorBidi"/>
          <w:sz w:val="20"/>
          <w:szCs w:val="20"/>
        </w:rPr>
        <w:t>of ‘not proven’</w:t>
      </w:r>
      <w:r w:rsidRPr="00683B4D">
        <w:rPr>
          <w:rFonts w:ascii="Palatino Linotype" w:hAnsi="Palatino Linotype" w:cstheme="majorBidi"/>
          <w:sz w:val="20"/>
          <w:szCs w:val="20"/>
        </w:rPr>
        <w:t xml:space="preserve"> (Scotland) </w:t>
      </w:r>
      <w:r w:rsidRPr="009320A5">
        <w:rPr>
          <w:rFonts w:ascii="Palatino Linotype" w:hAnsi="Palatino Linotype" w:cstheme="majorBidi"/>
          <w:sz w:val="20"/>
          <w:szCs w:val="20"/>
        </w:rPr>
        <w:t>or ‘acquittal for the benefit of the doubt’ (Israel</w:t>
      </w:r>
      <w:r w:rsidRPr="00683B4D">
        <w:rPr>
          <w:rFonts w:ascii="Palatino Linotype" w:hAnsi="Palatino Linotype" w:cstheme="majorBidi"/>
          <w:sz w:val="20"/>
          <w:szCs w:val="20"/>
        </w:rPr>
        <w:t xml:space="preserve">, henceforth </w:t>
      </w:r>
      <w:r w:rsidRPr="009320A5">
        <w:rPr>
          <w:rFonts w:ascii="Palatino Linotype" w:hAnsi="Palatino Linotype" w:cstheme="majorBidi"/>
          <w:sz w:val="20"/>
          <w:szCs w:val="20"/>
        </w:rPr>
        <w:t>‘ABD’). We</w:t>
      </w:r>
      <w:r w:rsidRPr="00683B4D">
        <w:rPr>
          <w:rFonts w:ascii="Palatino Linotype" w:hAnsi="Palatino Linotype" w:cstheme="majorBidi"/>
          <w:sz w:val="20"/>
          <w:szCs w:val="20"/>
        </w:rPr>
        <w:t xml:space="preserve"> begin the talk by defining the Israeli ABD judgment and describe its historical development in Israeli law. We show that this verdict was not created in a single conscious act of legislation but was rather developed incrementally by the courts. We also show that unlike in Scotland, the ABD in Israel has serious legal implications, for the courts relied on it to violate the acquitted person’s rights (</w:t>
      </w:r>
      <w:proofErr w:type="gramStart"/>
      <w:r w:rsidRPr="00683B4D">
        <w:rPr>
          <w:rFonts w:ascii="Palatino Linotype" w:hAnsi="Palatino Linotype" w:cstheme="majorBidi"/>
          <w:sz w:val="20"/>
          <w:szCs w:val="20"/>
        </w:rPr>
        <w:t>e.g.</w:t>
      </w:r>
      <w:proofErr w:type="gramEnd"/>
      <w:r w:rsidRPr="00683B4D">
        <w:rPr>
          <w:rFonts w:ascii="Palatino Linotype" w:hAnsi="Palatino Linotype" w:cstheme="majorBidi"/>
          <w:sz w:val="20"/>
          <w:szCs w:val="20"/>
        </w:rPr>
        <w:t xml:space="preserve"> denying them compensation due to acquittal). We then present some data on ABDs in Israel. Intuitively, one might expect that ABDs would constitute the exception rather than the rule, particularly given their lack of a statutory basis. However, the data we collected shows the opposite. We present the high volume of ABDs and their proportion within group of all acquittals. We then compare this data with that available on the ‘not proven’ in Scotland.</w:t>
      </w:r>
    </w:p>
    <w:p w14:paraId="1522BFA2" w14:textId="77777777" w:rsidR="004C4A9F" w:rsidRDefault="004C4A9F" w:rsidP="00226BF3">
      <w:pPr>
        <w:jc w:val="both"/>
        <w:rPr>
          <w:rFonts w:ascii="Palatino Linotype" w:hAnsi="Palatino Linotype" w:cs="Calibri"/>
          <w:i/>
          <w:iCs/>
          <w:color w:val="000000" w:themeColor="text1"/>
        </w:rPr>
      </w:pPr>
    </w:p>
    <w:p w14:paraId="480EB9CC" w14:textId="77FA993A" w:rsidR="00226BF3" w:rsidRDefault="00226BF3" w:rsidP="00226BF3">
      <w:pPr>
        <w:jc w:val="both"/>
        <w:rPr>
          <w:rFonts w:ascii="Palatino Linotype" w:hAnsi="Palatino Linotype" w:cs="Calibri"/>
          <w:i/>
          <w:iCs/>
          <w:color w:val="000000" w:themeColor="text1"/>
        </w:rPr>
      </w:pPr>
    </w:p>
    <w:p w14:paraId="63D54945" w14:textId="0868B802" w:rsidR="00226BF3" w:rsidRDefault="00226BF3" w:rsidP="00226BF3">
      <w:pPr>
        <w:jc w:val="both"/>
        <w:rPr>
          <w:rFonts w:ascii="Palatino Linotype" w:hAnsi="Palatino Linotype" w:cs="Calibri"/>
          <w:i/>
          <w:iCs/>
          <w:color w:val="000000" w:themeColor="text1"/>
        </w:rPr>
      </w:pPr>
    </w:p>
    <w:p w14:paraId="3467D355" w14:textId="02C20E3F" w:rsidR="00226BF3" w:rsidRDefault="00226BF3" w:rsidP="00226BF3">
      <w:pPr>
        <w:jc w:val="both"/>
        <w:rPr>
          <w:rFonts w:ascii="Palatino Linotype" w:hAnsi="Palatino Linotype" w:cs="Calibri"/>
          <w:i/>
          <w:iCs/>
          <w:color w:val="000000"/>
        </w:rPr>
      </w:pPr>
      <w:r w:rsidRPr="00AF76BA">
        <w:rPr>
          <w:rFonts w:ascii="Palatino Linotype" w:hAnsi="Palatino Linotype"/>
        </w:rPr>
        <w:t xml:space="preserve">A. </w:t>
      </w:r>
      <w:proofErr w:type="spellStart"/>
      <w:r w:rsidRPr="00AF76BA">
        <w:rPr>
          <w:rFonts w:ascii="Palatino Linotype" w:hAnsi="Palatino Linotype"/>
        </w:rPr>
        <w:t>Pundik</w:t>
      </w:r>
      <w:proofErr w:type="spellEnd"/>
      <w:r w:rsidRPr="00AF76BA">
        <w:rPr>
          <w:rFonts w:ascii="Palatino Linotype" w:hAnsi="Palatino Linotype"/>
        </w:rPr>
        <w:t xml:space="preserve">: </w:t>
      </w:r>
      <w:r w:rsidRPr="004D6450">
        <w:rPr>
          <w:rFonts w:ascii="Palatino Linotype" w:hAnsi="Palatino Linotype" w:cs="Calibri"/>
          <w:i/>
          <w:iCs/>
          <w:color w:val="000000"/>
        </w:rPr>
        <w:t>Adding a Third Verdict to Reduce the Risk of False Conviction</w:t>
      </w:r>
    </w:p>
    <w:p w14:paraId="69A93018" w14:textId="19ECB4ED" w:rsidR="00226BF3" w:rsidRDefault="00226BF3" w:rsidP="00226BF3">
      <w:pPr>
        <w:jc w:val="both"/>
        <w:rPr>
          <w:rFonts w:ascii="Palatino Linotype" w:hAnsi="Palatino Linotype"/>
          <w:b/>
          <w:bCs/>
        </w:rPr>
      </w:pPr>
    </w:p>
    <w:p w14:paraId="4820F787" w14:textId="77777777" w:rsidR="00683B4D" w:rsidRPr="002D7601" w:rsidRDefault="00683B4D" w:rsidP="002D7601">
      <w:pPr>
        <w:spacing w:after="120"/>
        <w:jc w:val="both"/>
        <w:rPr>
          <w:rFonts w:ascii="Palatino Linotype" w:hAnsi="Palatino Linotype" w:cstheme="majorBidi"/>
          <w:sz w:val="20"/>
          <w:szCs w:val="20"/>
        </w:rPr>
      </w:pPr>
      <w:r w:rsidRPr="002D7601">
        <w:rPr>
          <w:rFonts w:ascii="Palatino Linotype" w:hAnsi="Palatino Linotype" w:cstheme="majorBidi"/>
          <w:sz w:val="20"/>
          <w:szCs w:val="20"/>
        </w:rPr>
        <w:t xml:space="preserve">The aim of the current project is to </w:t>
      </w:r>
      <w:r w:rsidRPr="002D7601">
        <w:rPr>
          <w:rStyle w:val="cf01"/>
          <w:rFonts w:ascii="Palatino Linotype" w:hAnsi="Palatino Linotype"/>
          <w:sz w:val="20"/>
          <w:szCs w:val="20"/>
        </w:rPr>
        <w:t xml:space="preserve">examine whether, to what extent, and why adding a third verdict assists in preventing false convictions. The research will be carried out through 6 randomised controlled experiments on the Israeli </w:t>
      </w:r>
      <w:r w:rsidRPr="002D7601">
        <w:rPr>
          <w:rFonts w:ascii="Palatino Linotype" w:hAnsi="Palatino Linotype" w:cstheme="majorBidi"/>
          <w:sz w:val="20"/>
          <w:szCs w:val="20"/>
        </w:rPr>
        <w:t>‘acquittal for the benefit of the doubt’ (henceforth ‘ABD’)</w:t>
      </w:r>
      <w:r w:rsidRPr="002D7601">
        <w:rPr>
          <w:rStyle w:val="cf01"/>
          <w:rFonts w:ascii="Palatino Linotype" w:hAnsi="Palatino Linotype"/>
          <w:sz w:val="20"/>
          <w:szCs w:val="20"/>
        </w:rPr>
        <w:t xml:space="preserve"> —the first ever to be conducted on this Israeli verdict. We seek to identify the </w:t>
      </w:r>
      <w:r w:rsidRPr="002D7601">
        <w:rPr>
          <w:rStyle w:val="cf01"/>
          <w:rFonts w:ascii="Palatino Linotype" w:hAnsi="Palatino Linotype"/>
          <w:i/>
          <w:iCs/>
          <w:sz w:val="20"/>
          <w:szCs w:val="20"/>
        </w:rPr>
        <w:t>type</w:t>
      </w:r>
      <w:r w:rsidRPr="002D7601">
        <w:rPr>
          <w:rStyle w:val="cf01"/>
          <w:rFonts w:ascii="Palatino Linotype" w:hAnsi="Palatino Linotype"/>
          <w:sz w:val="20"/>
          <w:szCs w:val="20"/>
        </w:rPr>
        <w:t xml:space="preserve"> of wrongful convictions that ABD might assist in preventing and to isolate the psychological and emotional mechanisms that may explain this effect. </w:t>
      </w:r>
      <w:r w:rsidRPr="002D7601">
        <w:rPr>
          <w:rFonts w:ascii="Palatino Linotype" w:hAnsi="Palatino Linotype" w:cstheme="majorBidi"/>
          <w:sz w:val="20"/>
          <w:szCs w:val="20"/>
        </w:rPr>
        <w:t xml:space="preserve">Our hypothesis is that the availability of the ABD verdict </w:t>
      </w:r>
      <w:r w:rsidRPr="002D7601">
        <w:rPr>
          <w:rFonts w:ascii="Palatino Linotype" w:hAnsi="Palatino Linotype"/>
          <w:sz w:val="20"/>
          <w:szCs w:val="20"/>
        </w:rPr>
        <w:t xml:space="preserve">reduces the risk of wrongful conviction </w:t>
      </w:r>
      <w:r w:rsidRPr="002D7601">
        <w:rPr>
          <w:rFonts w:ascii="Palatino Linotype" w:hAnsi="Palatino Linotype" w:cstheme="majorBidi"/>
          <w:sz w:val="20"/>
          <w:szCs w:val="20"/>
        </w:rPr>
        <w:t>by encouraging</w:t>
      </w:r>
      <w:r w:rsidRPr="002D7601">
        <w:rPr>
          <w:rFonts w:ascii="Palatino Linotype" w:hAnsi="Palatino Linotype"/>
          <w:sz w:val="20"/>
          <w:szCs w:val="20"/>
        </w:rPr>
        <w:t xml:space="preserve"> </w:t>
      </w:r>
      <w:proofErr w:type="gramStart"/>
      <w:r w:rsidRPr="002D7601">
        <w:rPr>
          <w:rFonts w:ascii="Palatino Linotype" w:hAnsi="Palatino Linotype"/>
          <w:sz w:val="20"/>
          <w:szCs w:val="20"/>
        </w:rPr>
        <w:t>fact-finders</w:t>
      </w:r>
      <w:proofErr w:type="gramEnd"/>
      <w:r w:rsidRPr="002D7601">
        <w:rPr>
          <w:rFonts w:ascii="Palatino Linotype" w:hAnsi="Palatino Linotype"/>
          <w:sz w:val="20"/>
          <w:szCs w:val="20"/>
        </w:rPr>
        <w:t xml:space="preserve"> to overcome powerful emotional biases. If our hypothesis is correct</w:t>
      </w:r>
      <w:r w:rsidRPr="002D7601">
        <w:rPr>
          <w:rStyle w:val="cf01"/>
          <w:rFonts w:ascii="Palatino Linotype" w:hAnsi="Palatino Linotype"/>
          <w:sz w:val="20"/>
          <w:szCs w:val="20"/>
        </w:rPr>
        <w:t xml:space="preserve">, </w:t>
      </w:r>
      <w:r w:rsidRPr="002D7601">
        <w:rPr>
          <w:rFonts w:ascii="Palatino Linotype" w:hAnsi="Palatino Linotype" w:cstheme="majorBidi"/>
          <w:sz w:val="20"/>
          <w:szCs w:val="20"/>
        </w:rPr>
        <w:t xml:space="preserve">ABD would be particularly useful in preventing false convictions within an important type of case: </w:t>
      </w:r>
      <w:r w:rsidRPr="002D7601">
        <w:rPr>
          <w:rStyle w:val="cf01"/>
          <w:rFonts w:ascii="Palatino Linotype" w:hAnsi="Palatino Linotype"/>
          <w:sz w:val="20"/>
          <w:szCs w:val="20"/>
        </w:rPr>
        <w:t xml:space="preserve">when the incriminating evidence is too weak to prove guilt beyond reasonable doubt (so the defendant should be acquitted), yet the emotional charge of the case is so strong that it might sway the </w:t>
      </w:r>
      <w:proofErr w:type="gramStart"/>
      <w:r w:rsidRPr="002D7601">
        <w:rPr>
          <w:rStyle w:val="cf01"/>
          <w:rFonts w:ascii="Palatino Linotype" w:hAnsi="Palatino Linotype"/>
          <w:sz w:val="20"/>
          <w:szCs w:val="20"/>
        </w:rPr>
        <w:t>fact-finder</w:t>
      </w:r>
      <w:proofErr w:type="gramEnd"/>
      <w:r w:rsidRPr="002D7601">
        <w:rPr>
          <w:rStyle w:val="cf01"/>
          <w:rFonts w:ascii="Palatino Linotype" w:hAnsi="Palatino Linotype"/>
          <w:sz w:val="20"/>
          <w:szCs w:val="20"/>
        </w:rPr>
        <w:t xml:space="preserve"> to hand down a guilty verdict nonetheless. </w:t>
      </w:r>
      <w:r w:rsidRPr="002D7601">
        <w:rPr>
          <w:rFonts w:ascii="Palatino Linotype" w:hAnsi="Palatino Linotype" w:cstheme="majorBidi"/>
          <w:sz w:val="20"/>
          <w:szCs w:val="20"/>
        </w:rPr>
        <w:t xml:space="preserve"> </w:t>
      </w:r>
    </w:p>
    <w:p w14:paraId="28E5A983" w14:textId="631ABB94" w:rsidR="00226BF3" w:rsidRDefault="00226BF3" w:rsidP="00226BF3">
      <w:pPr>
        <w:jc w:val="both"/>
        <w:rPr>
          <w:rFonts w:ascii="Palatino Linotype" w:hAnsi="Palatino Linotype"/>
          <w:b/>
          <w:bCs/>
        </w:rPr>
      </w:pPr>
    </w:p>
    <w:p w14:paraId="139AFA47" w14:textId="77777777" w:rsidR="009803B5" w:rsidRDefault="009803B5" w:rsidP="00226BF3">
      <w:pPr>
        <w:jc w:val="both"/>
        <w:rPr>
          <w:rFonts w:ascii="Palatino Linotype" w:hAnsi="Palatino Linotype"/>
          <w:b/>
          <w:bCs/>
        </w:rPr>
      </w:pPr>
    </w:p>
    <w:p w14:paraId="0DCEA2F0" w14:textId="77777777" w:rsidR="002D7601" w:rsidRDefault="002D7601" w:rsidP="00226BF3">
      <w:pPr>
        <w:jc w:val="both"/>
        <w:rPr>
          <w:rFonts w:ascii="Palatino Linotype" w:hAnsi="Palatino Linotype"/>
          <w:b/>
          <w:bCs/>
        </w:rPr>
      </w:pPr>
    </w:p>
    <w:p w14:paraId="14F70A80" w14:textId="77777777" w:rsidR="00A45142" w:rsidRPr="004907D7" w:rsidRDefault="00A45142" w:rsidP="00A45142">
      <w:pPr>
        <w:autoSpaceDE w:val="0"/>
        <w:autoSpaceDN w:val="0"/>
        <w:adjustRightInd w:val="0"/>
        <w:rPr>
          <w:rFonts w:asciiTheme="minorBidi" w:eastAsia="CharisSIL" w:hAnsiTheme="minorBidi"/>
          <w:b/>
          <w:bCs/>
          <w:vertAlign w:val="subscript"/>
          <w:lang w:val="en-US"/>
        </w:rPr>
      </w:pPr>
      <w:r w:rsidRPr="00AF76BA">
        <w:rPr>
          <w:rFonts w:ascii="Palatino Linotype" w:hAnsi="Palatino Linotype"/>
        </w:rPr>
        <w:t xml:space="preserve">M. </w:t>
      </w:r>
      <w:proofErr w:type="spellStart"/>
      <w:r w:rsidRPr="00AF76BA">
        <w:rPr>
          <w:rFonts w:ascii="Palatino Linotype" w:hAnsi="Palatino Linotype"/>
        </w:rPr>
        <w:t>Barneron</w:t>
      </w:r>
      <w:proofErr w:type="spellEnd"/>
      <w:r w:rsidRPr="00AF76BA">
        <w:rPr>
          <w:rFonts w:ascii="Palatino Linotype" w:hAnsi="Palatino Linotype"/>
        </w:rPr>
        <w:t xml:space="preserve">: </w:t>
      </w:r>
      <w:r w:rsidRPr="00300710">
        <w:rPr>
          <w:rFonts w:ascii="Palatino Linotype" w:eastAsia="CharisSIL" w:hAnsi="Palatino Linotype"/>
          <w:i/>
          <w:iCs/>
          <w:lang w:val="en-US"/>
        </w:rPr>
        <w:t>The Powerful Influence of Third Alternatives on Social Decision-Making: Theory and Evidence from Controlled Experiments</w:t>
      </w:r>
    </w:p>
    <w:p w14:paraId="6DABF129" w14:textId="125402B3" w:rsidR="00226BF3" w:rsidRDefault="00226BF3" w:rsidP="00226BF3">
      <w:pPr>
        <w:jc w:val="both"/>
        <w:rPr>
          <w:rFonts w:ascii="Palatino Linotype" w:hAnsi="Palatino Linotype" w:cs="Calibri"/>
          <w:i/>
          <w:iCs/>
          <w:color w:val="000000"/>
        </w:rPr>
      </w:pPr>
    </w:p>
    <w:p w14:paraId="3F9871F9" w14:textId="77777777" w:rsidR="0059384B" w:rsidRPr="0059384B" w:rsidRDefault="0059384B" w:rsidP="0059384B">
      <w:pPr>
        <w:autoSpaceDE w:val="0"/>
        <w:autoSpaceDN w:val="0"/>
        <w:adjustRightInd w:val="0"/>
        <w:jc w:val="both"/>
        <w:rPr>
          <w:rFonts w:ascii="Palatino Linotype" w:eastAsia="CharisSIL" w:hAnsi="Palatino Linotype"/>
          <w:sz w:val="20"/>
          <w:szCs w:val="20"/>
          <w:lang w:val="en-US"/>
        </w:rPr>
      </w:pPr>
      <w:r w:rsidRPr="0059384B">
        <w:rPr>
          <w:rFonts w:ascii="Palatino Linotype" w:eastAsia="CharisSIL" w:hAnsi="Palatino Linotype"/>
          <w:sz w:val="20"/>
          <w:szCs w:val="20"/>
          <w:lang w:val="en-US"/>
        </w:rPr>
        <w:t xml:space="preserve">Over the years, the psychological literature has identified several factors and biases influencing decision-making processes. In this talk, I will present the results of a recent work focusing on social decisions, that is, decisions impacting not only the lives of the decision-makers themselves but also the lives of other people. </w:t>
      </w:r>
      <w:proofErr w:type="gramStart"/>
      <w:r w:rsidRPr="0059384B">
        <w:rPr>
          <w:rFonts w:ascii="Palatino Linotype" w:eastAsia="CharisSIL" w:hAnsi="Palatino Linotype"/>
          <w:sz w:val="20"/>
          <w:szCs w:val="20"/>
          <w:lang w:val="en-US"/>
        </w:rPr>
        <w:t>In particular, I</w:t>
      </w:r>
      <w:proofErr w:type="gramEnd"/>
      <w:r w:rsidRPr="0059384B">
        <w:rPr>
          <w:rFonts w:ascii="Palatino Linotype" w:eastAsia="CharisSIL" w:hAnsi="Palatino Linotype"/>
          <w:sz w:val="20"/>
          <w:szCs w:val="20"/>
          <w:lang w:val="en-US"/>
        </w:rPr>
        <w:t xml:space="preserve"> will focus on one type of social decisions that is of interest for both legal scholars and psychologists: decisions that are made under conflicts of interest. I will show how </w:t>
      </w:r>
      <w:r w:rsidRPr="0059384B">
        <w:rPr>
          <w:rFonts w:ascii="Palatino Linotype" w:eastAsia="CharisSIL" w:hAnsi="Palatino Linotype"/>
          <w:sz w:val="20"/>
          <w:szCs w:val="20"/>
          <w:lang w:val="en-US"/>
        </w:rPr>
        <w:lastRenderedPageBreak/>
        <w:t xml:space="preserve">adding a third alternative dramatically influences the tendency to make self-interested decisions. In controlled laboratory experiments, a group of participants had to choose between two alternatives: one self-interested and a second other-oriented. A different group of participants had the opportunity to choose a third alternative, in addition to the two previous alternatives. The third alternative was worse for the other person and not any better for the participants compared to the self-interested alternative. The results revealed that participants who were given the opportunity to choose the third alternative made more self-interested decisions than did participants who were not given this opportunity. I will discuss the implications of these findings for the legal system in general and intermediate </w:t>
      </w:r>
      <w:proofErr w:type="gramStart"/>
      <w:r w:rsidRPr="0059384B">
        <w:rPr>
          <w:rFonts w:ascii="Palatino Linotype" w:eastAsia="CharisSIL" w:hAnsi="Palatino Linotype"/>
          <w:sz w:val="20"/>
          <w:szCs w:val="20"/>
          <w:lang w:val="en-US"/>
        </w:rPr>
        <w:t>judgments in particular</w:t>
      </w:r>
      <w:proofErr w:type="gramEnd"/>
      <w:r w:rsidRPr="0059384B">
        <w:rPr>
          <w:rFonts w:ascii="Palatino Linotype" w:eastAsia="CharisSIL" w:hAnsi="Palatino Linotype"/>
          <w:sz w:val="20"/>
          <w:szCs w:val="20"/>
          <w:lang w:val="en-US"/>
        </w:rPr>
        <w:t xml:space="preserve">. </w:t>
      </w:r>
    </w:p>
    <w:p w14:paraId="3BF84C6B" w14:textId="77777777" w:rsidR="0059384B" w:rsidRPr="0059384B" w:rsidRDefault="0059384B" w:rsidP="00226BF3">
      <w:pPr>
        <w:jc w:val="both"/>
        <w:rPr>
          <w:rFonts w:ascii="Palatino Linotype" w:hAnsi="Palatino Linotype" w:cs="Calibri"/>
          <w:color w:val="000000"/>
        </w:rPr>
      </w:pPr>
    </w:p>
    <w:p w14:paraId="20DE23F5" w14:textId="24D8E4EB" w:rsidR="00226BF3" w:rsidRDefault="00226BF3" w:rsidP="00226BF3">
      <w:pPr>
        <w:jc w:val="both"/>
        <w:rPr>
          <w:rFonts w:ascii="Palatino Linotype" w:hAnsi="Palatino Linotype" w:cs="Calibri"/>
          <w:i/>
          <w:iCs/>
          <w:color w:val="000000"/>
        </w:rPr>
      </w:pPr>
    </w:p>
    <w:p w14:paraId="2FD2D4F4" w14:textId="77777777" w:rsidR="003868B8" w:rsidRDefault="003868B8" w:rsidP="00226BF3">
      <w:pPr>
        <w:jc w:val="both"/>
        <w:rPr>
          <w:rFonts w:ascii="Palatino Linotype" w:hAnsi="Palatino Linotype" w:cs="Calibri"/>
          <w:i/>
          <w:iCs/>
          <w:color w:val="000000"/>
        </w:rPr>
      </w:pPr>
    </w:p>
    <w:p w14:paraId="3EF7E75F" w14:textId="708A9540" w:rsidR="00226BF3" w:rsidRDefault="00226BF3" w:rsidP="00226BF3">
      <w:pPr>
        <w:jc w:val="both"/>
        <w:rPr>
          <w:rFonts w:ascii="Palatino Linotype" w:hAnsi="Palatino Linotype"/>
          <w:i/>
          <w:iCs/>
        </w:rPr>
      </w:pPr>
      <w:r w:rsidRPr="00AF76BA">
        <w:rPr>
          <w:rFonts w:ascii="Palatino Linotype" w:hAnsi="Palatino Linotype"/>
        </w:rPr>
        <w:t xml:space="preserve">G. </w:t>
      </w:r>
      <w:proofErr w:type="spellStart"/>
      <w:r w:rsidRPr="00AF76BA">
        <w:rPr>
          <w:rFonts w:ascii="Palatino Linotype" w:hAnsi="Palatino Linotype"/>
        </w:rPr>
        <w:t>Tuzet</w:t>
      </w:r>
      <w:proofErr w:type="spellEnd"/>
      <w:r w:rsidRPr="00AF76BA">
        <w:rPr>
          <w:rFonts w:ascii="Palatino Linotype" w:hAnsi="Palatino Linotype"/>
        </w:rPr>
        <w:t xml:space="preserve">: </w:t>
      </w:r>
      <w:r w:rsidRPr="004D6450">
        <w:rPr>
          <w:rFonts w:ascii="Palatino Linotype" w:hAnsi="Palatino Linotype"/>
          <w:i/>
          <w:iCs/>
        </w:rPr>
        <w:t>Proportional Adjudication and its Discontents</w:t>
      </w:r>
    </w:p>
    <w:p w14:paraId="0F8CA3DA" w14:textId="21768F61" w:rsidR="00DD10DE" w:rsidRDefault="00DD10DE" w:rsidP="00226BF3">
      <w:pPr>
        <w:jc w:val="both"/>
        <w:rPr>
          <w:rFonts w:ascii="Palatino Linotype" w:hAnsi="Palatino Linotype"/>
          <w:i/>
          <w:iCs/>
        </w:rPr>
      </w:pPr>
    </w:p>
    <w:p w14:paraId="00A94E1C" w14:textId="77777777" w:rsidR="00DD10DE" w:rsidRPr="002D7601" w:rsidRDefault="00DD10DE" w:rsidP="002D7601">
      <w:pPr>
        <w:rPr>
          <w:rFonts w:ascii="Palatino Linotype" w:eastAsia="Times New Roman" w:hAnsi="Palatino Linotype" w:cs="Calibri"/>
          <w:color w:val="000000"/>
          <w:sz w:val="20"/>
          <w:szCs w:val="20"/>
          <w:lang w:eastAsia="en-GB"/>
        </w:rPr>
      </w:pPr>
      <w:r w:rsidRPr="002D7601">
        <w:rPr>
          <w:rFonts w:ascii="Palatino Linotype" w:eastAsia="Times New Roman" w:hAnsi="Palatino Linotype" w:cs="Times New Roman"/>
          <w:color w:val="000000"/>
          <w:sz w:val="20"/>
          <w:szCs w:val="20"/>
          <w:lang w:eastAsia="en-GB"/>
        </w:rPr>
        <w:t xml:space="preserve">The work argues that standards of proof and proportional adjudication are different legal responses to the problem of judgment under </w:t>
      </w:r>
      <w:proofErr w:type="gramStart"/>
      <w:r w:rsidRPr="002D7601">
        <w:rPr>
          <w:rFonts w:ascii="Palatino Linotype" w:eastAsia="Times New Roman" w:hAnsi="Palatino Linotype" w:cs="Times New Roman"/>
          <w:color w:val="000000"/>
          <w:sz w:val="20"/>
          <w:szCs w:val="20"/>
          <w:lang w:eastAsia="en-GB"/>
        </w:rPr>
        <w:t>uncertainty, and</w:t>
      </w:r>
      <w:proofErr w:type="gramEnd"/>
      <w:r w:rsidRPr="002D7601">
        <w:rPr>
          <w:rFonts w:ascii="Palatino Linotype" w:eastAsia="Times New Roman" w:hAnsi="Palatino Linotype" w:cs="Times New Roman"/>
          <w:color w:val="000000"/>
          <w:sz w:val="20"/>
          <w:szCs w:val="20"/>
          <w:lang w:eastAsia="en-GB"/>
        </w:rPr>
        <w:t xml:space="preserve"> compares their features. It focuses </w:t>
      </w:r>
      <w:proofErr w:type="gramStart"/>
      <w:r w:rsidRPr="002D7601">
        <w:rPr>
          <w:rFonts w:ascii="Palatino Linotype" w:eastAsia="Times New Roman" w:hAnsi="Palatino Linotype" w:cs="Times New Roman"/>
          <w:color w:val="000000"/>
          <w:sz w:val="20"/>
          <w:szCs w:val="20"/>
          <w:lang w:eastAsia="en-GB"/>
        </w:rPr>
        <w:t>in particular on</w:t>
      </w:r>
      <w:proofErr w:type="gramEnd"/>
      <w:r w:rsidRPr="002D7601">
        <w:rPr>
          <w:rFonts w:ascii="Palatino Linotype" w:eastAsia="Times New Roman" w:hAnsi="Palatino Linotype" w:cs="Times New Roman"/>
          <w:color w:val="000000"/>
          <w:sz w:val="20"/>
          <w:szCs w:val="20"/>
          <w:lang w:eastAsia="en-GB"/>
        </w:rPr>
        <w:t xml:space="preserve"> civil cases of two sorts: (1) cases in which liability can be proportionally determined according to the probability of causation or negligence; and (2) cases in which property rights can be proportionally determined according to the strength of the relevant claims. Objections to proportional adjudication are considered, and possible rejoinders are suggested. </w:t>
      </w:r>
    </w:p>
    <w:p w14:paraId="5C674405" w14:textId="77777777" w:rsidR="00DD10DE" w:rsidRPr="00AF76BA" w:rsidRDefault="00DD10DE" w:rsidP="00226BF3">
      <w:pPr>
        <w:jc w:val="both"/>
        <w:rPr>
          <w:rFonts w:ascii="Palatino Linotype" w:hAnsi="Palatino Linotype"/>
          <w:b/>
          <w:bCs/>
        </w:rPr>
      </w:pPr>
    </w:p>
    <w:p w14:paraId="3205F0CA" w14:textId="77777777" w:rsidR="00226BF3" w:rsidRPr="004D6450" w:rsidRDefault="00226BF3" w:rsidP="00226BF3">
      <w:pPr>
        <w:jc w:val="both"/>
        <w:rPr>
          <w:rFonts w:ascii="Palatino Linotype" w:hAnsi="Palatino Linotype"/>
          <w:i/>
          <w:iCs/>
        </w:rPr>
      </w:pPr>
    </w:p>
    <w:p w14:paraId="470D3FB0" w14:textId="77777777" w:rsidR="0061688B" w:rsidRPr="0061688B" w:rsidRDefault="0061688B" w:rsidP="00AF76BA">
      <w:pPr>
        <w:jc w:val="both"/>
        <w:rPr>
          <w:rFonts w:ascii="Palatino Linotype" w:hAnsi="Palatino Linotype"/>
          <w:b/>
          <w:bCs/>
        </w:rPr>
      </w:pPr>
    </w:p>
    <w:p w14:paraId="0E7CD39F" w14:textId="65CF325B" w:rsidR="007A1A0A" w:rsidRDefault="007A1A0A" w:rsidP="00AF76BA">
      <w:pPr>
        <w:jc w:val="both"/>
        <w:rPr>
          <w:rFonts w:ascii="Palatino Linotype" w:hAnsi="Palatino Linotype"/>
        </w:rPr>
      </w:pPr>
    </w:p>
    <w:p w14:paraId="58CBC4B8" w14:textId="1742C40D" w:rsidR="007A1A0A" w:rsidRPr="007A1A0A" w:rsidRDefault="007A1A0A" w:rsidP="00AF76BA">
      <w:pPr>
        <w:jc w:val="both"/>
        <w:rPr>
          <w:rFonts w:ascii="Palatino Linotype" w:hAnsi="Palatino Linotype"/>
        </w:rPr>
      </w:pPr>
    </w:p>
    <w:sectPr w:rsidR="007A1A0A" w:rsidRPr="007A1A0A" w:rsidSect="004A616F">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38D6" w14:textId="77777777" w:rsidR="00A71D9E" w:rsidRDefault="00A71D9E" w:rsidP="006904BD">
      <w:r>
        <w:separator/>
      </w:r>
    </w:p>
  </w:endnote>
  <w:endnote w:type="continuationSeparator" w:id="0">
    <w:p w14:paraId="43163A79" w14:textId="77777777" w:rsidR="00A71D9E" w:rsidRDefault="00A71D9E" w:rsidP="0069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SIL">
    <w:altName w:val="Yu Gothic"/>
    <w:panose1 w:val="020B0604020202020204"/>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5088261"/>
      <w:docPartObj>
        <w:docPartGallery w:val="Page Numbers (Bottom of Page)"/>
        <w:docPartUnique/>
      </w:docPartObj>
    </w:sdtPr>
    <w:sdtContent>
      <w:p w14:paraId="0B37E66E" w14:textId="7823DAB1" w:rsidR="006904BD" w:rsidRDefault="006904BD" w:rsidP="00616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C2DDA" w14:textId="77777777" w:rsidR="006904BD" w:rsidRDefault="006904BD" w:rsidP="006904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573675"/>
      <w:docPartObj>
        <w:docPartGallery w:val="Page Numbers (Bottom of Page)"/>
        <w:docPartUnique/>
      </w:docPartObj>
    </w:sdtPr>
    <w:sdtContent>
      <w:p w14:paraId="0E543388" w14:textId="11DAA955" w:rsidR="006904BD" w:rsidRDefault="006904BD" w:rsidP="006169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163DF8" w14:textId="77777777" w:rsidR="006904BD" w:rsidRDefault="006904BD" w:rsidP="006904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26ED" w14:textId="77777777" w:rsidR="00A71D9E" w:rsidRDefault="00A71D9E" w:rsidP="006904BD">
      <w:r>
        <w:separator/>
      </w:r>
    </w:p>
  </w:footnote>
  <w:footnote w:type="continuationSeparator" w:id="0">
    <w:p w14:paraId="52F5A82C" w14:textId="77777777" w:rsidR="00A71D9E" w:rsidRDefault="00A71D9E" w:rsidP="00690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29"/>
    <w:rsid w:val="00111E37"/>
    <w:rsid w:val="00183320"/>
    <w:rsid w:val="00226BF3"/>
    <w:rsid w:val="002C30BC"/>
    <w:rsid w:val="002D7601"/>
    <w:rsid w:val="00300710"/>
    <w:rsid w:val="003868B8"/>
    <w:rsid w:val="004A616F"/>
    <w:rsid w:val="004C4A9F"/>
    <w:rsid w:val="004D6450"/>
    <w:rsid w:val="005045FB"/>
    <w:rsid w:val="0059384B"/>
    <w:rsid w:val="0061688B"/>
    <w:rsid w:val="00683B4D"/>
    <w:rsid w:val="006904BD"/>
    <w:rsid w:val="006E0874"/>
    <w:rsid w:val="00721429"/>
    <w:rsid w:val="00741B62"/>
    <w:rsid w:val="007A1A0A"/>
    <w:rsid w:val="00865CF0"/>
    <w:rsid w:val="009320A5"/>
    <w:rsid w:val="009803B5"/>
    <w:rsid w:val="00A45142"/>
    <w:rsid w:val="00A71D9E"/>
    <w:rsid w:val="00A944A5"/>
    <w:rsid w:val="00AF76BA"/>
    <w:rsid w:val="00DD10DE"/>
    <w:rsid w:val="00E16835"/>
    <w:rsid w:val="00E816E0"/>
    <w:rsid w:val="00F0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7587DE"/>
  <w15:chartTrackingRefBased/>
  <w15:docId w15:val="{09263A04-AFC4-2741-ACB3-C8A66FE4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BF3"/>
    <w:pPr>
      <w:ind w:left="720"/>
      <w:contextualSpacing/>
    </w:pPr>
  </w:style>
  <w:style w:type="character" w:customStyle="1" w:styleId="cf01">
    <w:name w:val="cf01"/>
    <w:basedOn w:val="DefaultParagraphFont"/>
    <w:rsid w:val="00683B4D"/>
    <w:rPr>
      <w:rFonts w:ascii="Segoe UI" w:hAnsi="Segoe UI" w:cs="Segoe UI" w:hint="default"/>
      <w:sz w:val="18"/>
      <w:szCs w:val="18"/>
    </w:rPr>
  </w:style>
  <w:style w:type="paragraph" w:styleId="Footer">
    <w:name w:val="footer"/>
    <w:basedOn w:val="Normal"/>
    <w:link w:val="FooterChar"/>
    <w:uiPriority w:val="99"/>
    <w:unhideWhenUsed/>
    <w:rsid w:val="006904BD"/>
    <w:pPr>
      <w:tabs>
        <w:tab w:val="center" w:pos="4513"/>
        <w:tab w:val="right" w:pos="9026"/>
      </w:tabs>
    </w:pPr>
  </w:style>
  <w:style w:type="character" w:customStyle="1" w:styleId="FooterChar">
    <w:name w:val="Footer Char"/>
    <w:basedOn w:val="DefaultParagraphFont"/>
    <w:link w:val="Footer"/>
    <w:uiPriority w:val="99"/>
    <w:rsid w:val="006904BD"/>
  </w:style>
  <w:style w:type="character" w:styleId="PageNumber">
    <w:name w:val="page number"/>
    <w:basedOn w:val="DefaultParagraphFont"/>
    <w:uiPriority w:val="99"/>
    <w:semiHidden/>
    <w:unhideWhenUsed/>
    <w:rsid w:val="0069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Picinali,F</dc:creator>
  <cp:keywords/>
  <dc:description/>
  <cp:lastModifiedBy>Picinali,F</cp:lastModifiedBy>
  <cp:revision>26</cp:revision>
  <dcterms:created xsi:type="dcterms:W3CDTF">2022-12-15T13:28:00Z</dcterms:created>
  <dcterms:modified xsi:type="dcterms:W3CDTF">2023-01-31T12:17:00Z</dcterms:modified>
</cp:coreProperties>
</file>