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06" w:rsidP="00E05106" w:rsidRDefault="00E05106">
      <w:pPr>
        <w:spacing w:line="360" w:lineRule="auto"/>
        <w:jc w:val="center"/>
        <w:rPr>
          <w:rStyle w:val="PageNumber"/>
          <w:sz w:val="26"/>
          <w:szCs w:val="26"/>
        </w:rPr>
      </w:pPr>
      <w:r>
        <w:rPr>
          <w:rStyle w:val="PageNumber"/>
          <w:sz w:val="26"/>
          <w:szCs w:val="26"/>
        </w:rPr>
        <w:t xml:space="preserve">Documents submitted to </w:t>
      </w:r>
      <w:proofErr w:type="spellStart"/>
      <w:r>
        <w:rPr>
          <w:rStyle w:val="PageNumber"/>
          <w:sz w:val="26"/>
          <w:szCs w:val="26"/>
        </w:rPr>
        <w:t>Cde</w:t>
      </w:r>
      <w:proofErr w:type="spellEnd"/>
      <w:r>
        <w:rPr>
          <w:rStyle w:val="PageNumber"/>
          <w:sz w:val="26"/>
          <w:szCs w:val="26"/>
        </w:rPr>
        <w:t xml:space="preserve">. V.M. Molotov                Ministry of Foreign Affairs        </w:t>
      </w:r>
    </w:p>
    <w:p w:rsidR="00E05106" w:rsidP="00E05106" w:rsidRDefault="00E05106">
      <w:pPr>
        <w:spacing w:line="360" w:lineRule="auto"/>
        <w:jc w:val="center"/>
        <w:rPr>
          <w:sz w:val="26"/>
          <w:szCs w:val="26"/>
          <w:lang w:val="en-US"/>
        </w:rPr>
      </w:pPr>
    </w:p>
    <w:p w:rsidR="00E05106" w:rsidP="00E05106" w:rsidRDefault="00E05106">
      <w:pPr>
        <w:spacing w:line="360" w:lineRule="auto"/>
        <w:jc w:val="center"/>
        <w:rPr>
          <w:rStyle w:val="PageNumber"/>
          <w:sz w:val="26"/>
          <w:szCs w:val="26"/>
        </w:rPr>
      </w:pPr>
      <w:r>
        <w:rPr>
          <w:rStyle w:val="PageNumber"/>
          <w:sz w:val="26"/>
          <w:szCs w:val="26"/>
        </w:rPr>
        <w:t>10.6</w:t>
      </w:r>
      <w:proofErr w:type="gramStart"/>
      <w:r>
        <w:rPr>
          <w:rStyle w:val="PageNumber"/>
          <w:sz w:val="26"/>
          <w:szCs w:val="26"/>
        </w:rPr>
        <w:t>.(</w:t>
      </w:r>
      <w:proofErr w:type="gramEnd"/>
      <w:r>
        <w:rPr>
          <w:rStyle w:val="PageNumber"/>
          <w:sz w:val="26"/>
          <w:szCs w:val="26"/>
        </w:rPr>
        <w:t>1952)</w:t>
      </w:r>
      <w:r>
        <w:rPr>
          <w:rStyle w:val="PageNumber"/>
          <w:sz w:val="26"/>
          <w:szCs w:val="26"/>
          <w:vertAlign w:val="superscript"/>
        </w:rPr>
        <w:footnoteReference w:id="1"/>
      </w:r>
      <w:r>
        <w:rPr>
          <w:rStyle w:val="PageNumber"/>
          <w:sz w:val="26"/>
          <w:szCs w:val="26"/>
        </w:rPr>
        <w:t xml:space="preserve">                                                                     Use</w:t>
      </w:r>
      <w:bookmarkStart w:name="_GoBack" w:id="0"/>
      <w:r>
        <w:rPr>
          <w:rStyle w:val="PageNumber"/>
          <w:sz w:val="26"/>
          <w:szCs w:val="26"/>
        </w:rPr>
        <w:t xml:space="preserve"> </w:t>
      </w:r>
      <w:bookmarkEnd w:id="0"/>
      <w:r>
        <w:rPr>
          <w:rStyle w:val="PageNumber"/>
          <w:sz w:val="26"/>
          <w:szCs w:val="26"/>
        </w:rPr>
        <w:t xml:space="preserve">in print                   </w:t>
      </w:r>
    </w:p>
    <w:p w:rsidR="00E05106" w:rsidP="00E05106" w:rsidRDefault="00E05106">
      <w:pPr>
        <w:spacing w:line="360" w:lineRule="auto"/>
        <w:jc w:val="center"/>
        <w:rPr>
          <w:sz w:val="26"/>
          <w:szCs w:val="26"/>
        </w:rPr>
      </w:pPr>
    </w:p>
    <w:p w:rsidR="00E05106" w:rsidP="00E05106" w:rsidRDefault="00E05106">
      <w:pPr>
        <w:spacing w:line="360" w:lineRule="auto"/>
        <w:rPr>
          <w:sz w:val="26"/>
          <w:szCs w:val="26"/>
        </w:rPr>
      </w:pPr>
    </w:p>
    <w:p w:rsidR="00E05106" w:rsidP="00E05106" w:rsidRDefault="00E05106">
      <w:pPr>
        <w:spacing w:line="360" w:lineRule="auto"/>
        <w:jc w:val="both"/>
        <w:rPr>
          <w:rStyle w:val="PageNumber"/>
          <w:sz w:val="26"/>
          <w:szCs w:val="26"/>
        </w:rPr>
      </w:pPr>
      <w:proofErr w:type="spellStart"/>
      <w:r>
        <w:rPr>
          <w:rStyle w:val="PageNumber"/>
          <w:sz w:val="26"/>
          <w:szCs w:val="26"/>
          <w:u w:val="single"/>
        </w:rPr>
        <w:t>Zorin</w:t>
      </w:r>
      <w:proofErr w:type="spellEnd"/>
      <w:r>
        <w:rPr>
          <w:rStyle w:val="PageNumber"/>
          <w:sz w:val="26"/>
          <w:szCs w:val="26"/>
        </w:rPr>
        <w:t xml:space="preserve">    reports information on the Anglo-American struggle for influence in Transjordan. On 4 June this year, a palace coup took place in Transjordan. King </w:t>
      </w:r>
      <w:proofErr w:type="spellStart"/>
      <w:r>
        <w:rPr>
          <w:rStyle w:val="PageNumber"/>
          <w:sz w:val="26"/>
          <w:szCs w:val="26"/>
        </w:rPr>
        <w:t>Talal</w:t>
      </w:r>
      <w:proofErr w:type="spellEnd"/>
      <w:r>
        <w:rPr>
          <w:rStyle w:val="PageNumber"/>
          <w:sz w:val="26"/>
          <w:szCs w:val="26"/>
          <w:vertAlign w:val="superscript"/>
        </w:rPr>
        <w:footnoteReference w:id="2"/>
      </w:r>
      <w:r>
        <w:rPr>
          <w:rStyle w:val="PageNumber"/>
          <w:sz w:val="26"/>
          <w:szCs w:val="26"/>
        </w:rPr>
        <w:t xml:space="preserve"> has been declared mentally ill and temporarily ‘pushed aside’, out of power. A new regency council has been appointed to run the country in the place of the one appointed earlier by the King. The behind-the-scenes aspect of this event bears witness to the further sharpening of Anglo-American disagreements in the </w:t>
      </w:r>
      <w:proofErr w:type="gramStart"/>
      <w:r>
        <w:rPr>
          <w:rStyle w:val="PageNumber"/>
          <w:sz w:val="26"/>
          <w:szCs w:val="26"/>
        </w:rPr>
        <w:t>Near</w:t>
      </w:r>
      <w:proofErr w:type="gramEnd"/>
      <w:r>
        <w:rPr>
          <w:rStyle w:val="PageNumber"/>
          <w:sz w:val="26"/>
          <w:szCs w:val="26"/>
        </w:rPr>
        <w:t xml:space="preserve"> and Middle East. Renowned for his American sympathies, King </w:t>
      </w:r>
      <w:proofErr w:type="spellStart"/>
      <w:r>
        <w:rPr>
          <w:rStyle w:val="PageNumber"/>
          <w:sz w:val="26"/>
          <w:szCs w:val="26"/>
        </w:rPr>
        <w:t>Talal</w:t>
      </w:r>
      <w:proofErr w:type="spellEnd"/>
      <w:r>
        <w:rPr>
          <w:rStyle w:val="PageNumber"/>
          <w:sz w:val="26"/>
          <w:szCs w:val="26"/>
        </w:rPr>
        <w:t xml:space="preserve"> came to the throne in August 1951 following the killing, by American agents, of Abdullah</w:t>
      </w:r>
      <w:r>
        <w:rPr>
          <w:rStyle w:val="PageNumber"/>
          <w:sz w:val="26"/>
          <w:szCs w:val="26"/>
          <w:vertAlign w:val="superscript"/>
        </w:rPr>
        <w:footnoteReference w:id="3"/>
      </w:r>
      <w:r>
        <w:rPr>
          <w:rStyle w:val="PageNumber"/>
          <w:sz w:val="26"/>
          <w:szCs w:val="26"/>
        </w:rPr>
        <w:t xml:space="preserve">; the latter was a conduit for English policy in the Near East and enabled the transformation of Transjordan into an English landed estate. After the murder of Abdullah, the English tried to proclaim his younger son </w:t>
      </w:r>
      <w:proofErr w:type="spellStart"/>
      <w:r>
        <w:rPr>
          <w:rStyle w:val="PageNumber"/>
          <w:sz w:val="26"/>
          <w:szCs w:val="26"/>
        </w:rPr>
        <w:t>Nayef</w:t>
      </w:r>
      <w:proofErr w:type="spellEnd"/>
      <w:r>
        <w:rPr>
          <w:rStyle w:val="PageNumber"/>
          <w:sz w:val="26"/>
          <w:szCs w:val="26"/>
        </w:rPr>
        <w:t xml:space="preserve"> King, but this was hindered by the Americans. Having become the head of state, King </w:t>
      </w:r>
      <w:proofErr w:type="spellStart"/>
      <w:r>
        <w:rPr>
          <w:rStyle w:val="PageNumber"/>
          <w:sz w:val="26"/>
          <w:szCs w:val="26"/>
        </w:rPr>
        <w:t>Tala</w:t>
      </w:r>
      <w:proofErr w:type="spellEnd"/>
      <w:r>
        <w:rPr>
          <w:rStyle w:val="PageNumber"/>
          <w:sz w:val="26"/>
          <w:szCs w:val="26"/>
        </w:rPr>
        <w:t xml:space="preserve"> took up an openly pro-American course in foreign and domestic policy. He accepted aid through Truman’s Point Four </w:t>
      </w:r>
      <w:proofErr w:type="spellStart"/>
      <w:r>
        <w:rPr>
          <w:rStyle w:val="PageNumber"/>
          <w:sz w:val="26"/>
          <w:szCs w:val="26"/>
        </w:rPr>
        <w:t>Programme</w:t>
      </w:r>
      <w:proofErr w:type="spellEnd"/>
      <w:r>
        <w:rPr>
          <w:rStyle w:val="PageNumber"/>
          <w:sz w:val="26"/>
          <w:szCs w:val="26"/>
        </w:rPr>
        <w:t xml:space="preserve"> and intended to sell oil prospecting rights to the whole territory of Jordan to American companies. At his command, many officials with pro-English inclinations were dismissed. Under the influence of the Americans </w:t>
      </w:r>
      <w:proofErr w:type="spellStart"/>
      <w:r>
        <w:rPr>
          <w:rStyle w:val="PageNumber"/>
          <w:sz w:val="26"/>
          <w:szCs w:val="26"/>
        </w:rPr>
        <w:t>Talal</w:t>
      </w:r>
      <w:proofErr w:type="spellEnd"/>
      <w:r>
        <w:rPr>
          <w:rStyle w:val="PageNumber"/>
          <w:sz w:val="26"/>
          <w:szCs w:val="26"/>
        </w:rPr>
        <w:t xml:space="preserve"> refused to support the English plan for creating a “Greater Syria” and was inclined to agree to the </w:t>
      </w:r>
      <w:proofErr w:type="spellStart"/>
      <w:r>
        <w:rPr>
          <w:rStyle w:val="PageNumber"/>
          <w:sz w:val="26"/>
          <w:szCs w:val="26"/>
        </w:rPr>
        <w:t>realisation</w:t>
      </w:r>
      <w:proofErr w:type="spellEnd"/>
      <w:r>
        <w:rPr>
          <w:rStyle w:val="PageNumber"/>
          <w:sz w:val="26"/>
          <w:szCs w:val="26"/>
        </w:rPr>
        <w:t xml:space="preserve"> of the American variant of the unification of Arab states. The English, having found themselves facing the threat of losing their position in Transjordan, began to undertake measures to sideline </w:t>
      </w:r>
      <w:proofErr w:type="spellStart"/>
      <w:r>
        <w:rPr>
          <w:rStyle w:val="PageNumber"/>
          <w:sz w:val="26"/>
          <w:szCs w:val="26"/>
        </w:rPr>
        <w:t>Talal</w:t>
      </w:r>
      <w:proofErr w:type="spellEnd"/>
      <w:r>
        <w:rPr>
          <w:rStyle w:val="PageNumber"/>
          <w:sz w:val="26"/>
          <w:szCs w:val="26"/>
        </w:rPr>
        <w:t xml:space="preserve"> from power and seat their man on the throne. Pro-English elements in the Government </w:t>
      </w:r>
      <w:r>
        <w:rPr>
          <w:rStyle w:val="PageNumber"/>
          <w:sz w:val="26"/>
          <w:szCs w:val="26"/>
        </w:rPr>
        <w:lastRenderedPageBreak/>
        <w:t xml:space="preserve">of Transjordan forced </w:t>
      </w:r>
      <w:proofErr w:type="spellStart"/>
      <w:r>
        <w:rPr>
          <w:rStyle w:val="PageNumber"/>
          <w:sz w:val="26"/>
          <w:szCs w:val="26"/>
        </w:rPr>
        <w:t>Talal</w:t>
      </w:r>
      <w:proofErr w:type="spellEnd"/>
      <w:r>
        <w:rPr>
          <w:rStyle w:val="PageNumber"/>
          <w:sz w:val="26"/>
          <w:szCs w:val="26"/>
        </w:rPr>
        <w:t xml:space="preserve"> to leave for France supposedly because of his schizophrenia. The actions of the pro-English side in Transjordan were led by the commander of the so-called Arab Legion, General </w:t>
      </w:r>
      <w:proofErr w:type="spellStart"/>
      <w:r>
        <w:rPr>
          <w:rStyle w:val="PageNumber"/>
          <w:sz w:val="26"/>
          <w:szCs w:val="26"/>
        </w:rPr>
        <w:t>Glubb</w:t>
      </w:r>
      <w:proofErr w:type="spellEnd"/>
      <w:r>
        <w:rPr>
          <w:rStyle w:val="PageNumber"/>
          <w:sz w:val="26"/>
          <w:szCs w:val="26"/>
        </w:rPr>
        <w:t xml:space="preserve"> Pasha (the famous English intelligence officer in the Near East)</w:t>
      </w:r>
      <w:r>
        <w:rPr>
          <w:rStyle w:val="PageNumber"/>
          <w:sz w:val="26"/>
          <w:szCs w:val="26"/>
          <w:vertAlign w:val="superscript"/>
        </w:rPr>
        <w:footnoteReference w:id="4"/>
      </w:r>
      <w:r>
        <w:rPr>
          <w:rStyle w:val="PageNumber"/>
          <w:sz w:val="26"/>
          <w:szCs w:val="26"/>
        </w:rPr>
        <w:t xml:space="preserve">. The measures that pushed </w:t>
      </w:r>
      <w:proofErr w:type="spellStart"/>
      <w:r>
        <w:rPr>
          <w:rStyle w:val="PageNumber"/>
          <w:sz w:val="26"/>
          <w:szCs w:val="26"/>
        </w:rPr>
        <w:t>Talal</w:t>
      </w:r>
      <w:proofErr w:type="spellEnd"/>
      <w:r>
        <w:rPr>
          <w:rStyle w:val="PageNumber"/>
          <w:sz w:val="26"/>
          <w:szCs w:val="26"/>
        </w:rPr>
        <w:t xml:space="preserve"> from power were taken by the Prime Minister </w:t>
      </w:r>
      <w:proofErr w:type="spellStart"/>
      <w:r>
        <w:rPr>
          <w:rStyle w:val="PageNumber"/>
          <w:sz w:val="26"/>
          <w:szCs w:val="26"/>
        </w:rPr>
        <w:t>Tawfik</w:t>
      </w:r>
      <w:proofErr w:type="spellEnd"/>
      <w:r>
        <w:rPr>
          <w:rStyle w:val="PageNumber"/>
          <w:sz w:val="26"/>
          <w:szCs w:val="26"/>
        </w:rPr>
        <w:t xml:space="preserve"> Pasha. According to reports in the Arab press, the most likely candidates for the throne in Transjordan are the pro-English Prince </w:t>
      </w:r>
      <w:proofErr w:type="spellStart"/>
      <w:r>
        <w:rPr>
          <w:rStyle w:val="PageNumber"/>
          <w:sz w:val="26"/>
          <w:szCs w:val="26"/>
        </w:rPr>
        <w:t>Nayef</w:t>
      </w:r>
      <w:proofErr w:type="spellEnd"/>
      <w:r>
        <w:rPr>
          <w:rStyle w:val="PageNumber"/>
          <w:sz w:val="26"/>
          <w:szCs w:val="26"/>
        </w:rPr>
        <w:t xml:space="preserve"> and </w:t>
      </w:r>
      <w:proofErr w:type="spellStart"/>
      <w:r>
        <w:rPr>
          <w:rStyle w:val="PageNumber"/>
          <w:sz w:val="26"/>
          <w:szCs w:val="26"/>
        </w:rPr>
        <w:t>Talal’s</w:t>
      </w:r>
      <w:proofErr w:type="spellEnd"/>
      <w:r>
        <w:rPr>
          <w:rStyle w:val="PageNumber"/>
          <w:sz w:val="26"/>
          <w:szCs w:val="26"/>
        </w:rPr>
        <w:t xml:space="preserve"> sixteen year old son Hussein</w:t>
      </w:r>
      <w:r>
        <w:rPr>
          <w:rStyle w:val="PageNumber"/>
          <w:sz w:val="26"/>
          <w:szCs w:val="26"/>
          <w:vertAlign w:val="superscript"/>
        </w:rPr>
        <w:footnoteReference w:id="5"/>
      </w:r>
      <w:r>
        <w:rPr>
          <w:rStyle w:val="PageNumber"/>
          <w:sz w:val="26"/>
          <w:szCs w:val="26"/>
        </w:rPr>
        <w:t xml:space="preserve">, who was raised in England. </w:t>
      </w:r>
    </w:p>
    <w:p w:rsidR="00E05106" w:rsidP="00E05106" w:rsidRDefault="00E05106">
      <w:pPr>
        <w:spacing w:line="360" w:lineRule="auto"/>
        <w:ind w:firstLine="340"/>
        <w:jc w:val="both"/>
        <w:rPr>
          <w:sz w:val="26"/>
          <w:szCs w:val="26"/>
          <w:lang w:val="en-US"/>
        </w:rPr>
      </w:pPr>
    </w:p>
    <w:p w:rsidR="00E05106" w:rsidP="00E05106" w:rsidRDefault="00E05106">
      <w:pPr>
        <w:spacing w:line="360" w:lineRule="auto"/>
        <w:ind w:firstLine="340"/>
        <w:jc w:val="both"/>
        <w:rPr>
          <w:rStyle w:val="PageNumber"/>
          <w:sz w:val="26"/>
          <w:szCs w:val="26"/>
        </w:rPr>
      </w:pPr>
      <w:r>
        <w:rPr>
          <w:rStyle w:val="PageNumber"/>
          <w:sz w:val="26"/>
          <w:szCs w:val="26"/>
        </w:rPr>
        <w:t xml:space="preserve">Sent to </w:t>
      </w:r>
      <w:proofErr w:type="spellStart"/>
      <w:r>
        <w:rPr>
          <w:rStyle w:val="PageNumber"/>
          <w:sz w:val="26"/>
          <w:szCs w:val="26"/>
        </w:rPr>
        <w:t>Cde</w:t>
      </w:r>
      <w:proofErr w:type="spellEnd"/>
      <w:r>
        <w:rPr>
          <w:rStyle w:val="PageNumber"/>
          <w:sz w:val="26"/>
          <w:szCs w:val="26"/>
        </w:rPr>
        <w:t xml:space="preserve">. Stalin and the other comrades of “the Eight”, as well as to </w:t>
      </w:r>
      <w:proofErr w:type="spellStart"/>
      <w:r>
        <w:rPr>
          <w:rStyle w:val="PageNumber"/>
          <w:sz w:val="26"/>
          <w:szCs w:val="26"/>
        </w:rPr>
        <w:t>Cdes</w:t>
      </w:r>
      <w:proofErr w:type="spellEnd"/>
      <w:r>
        <w:rPr>
          <w:rStyle w:val="PageNumber"/>
          <w:sz w:val="26"/>
          <w:szCs w:val="26"/>
        </w:rPr>
        <w:t xml:space="preserve">. </w:t>
      </w:r>
      <w:proofErr w:type="spellStart"/>
      <w:r>
        <w:rPr>
          <w:rStyle w:val="PageNumber"/>
          <w:sz w:val="26"/>
          <w:szCs w:val="26"/>
        </w:rPr>
        <w:t>Suslov</w:t>
      </w:r>
      <w:proofErr w:type="spellEnd"/>
      <w:r>
        <w:rPr>
          <w:rStyle w:val="PageNumber"/>
          <w:sz w:val="26"/>
          <w:szCs w:val="26"/>
        </w:rPr>
        <w:t xml:space="preserve">, </w:t>
      </w:r>
      <w:proofErr w:type="spellStart"/>
      <w:r>
        <w:rPr>
          <w:rStyle w:val="PageNumber"/>
          <w:sz w:val="26"/>
          <w:szCs w:val="26"/>
        </w:rPr>
        <w:t>Vyshinsky</w:t>
      </w:r>
      <w:proofErr w:type="spellEnd"/>
      <w:r>
        <w:rPr>
          <w:rStyle w:val="PageNumber"/>
          <w:sz w:val="26"/>
          <w:szCs w:val="26"/>
        </w:rPr>
        <w:t xml:space="preserve"> and </w:t>
      </w:r>
      <w:proofErr w:type="spellStart"/>
      <w:r w:rsidRPr="00D222A0">
        <w:rPr>
          <w:rStyle w:val="PageNumber"/>
          <w:rFonts w:cs="Times New Roman"/>
          <w:sz w:val="26"/>
          <w:szCs w:val="26"/>
        </w:rPr>
        <w:t>Grigo</w:t>
      </w:r>
      <w:r>
        <w:rPr>
          <w:rStyle w:val="PageNumber"/>
          <w:rFonts w:cs="Times New Roman"/>
          <w:sz w:val="26"/>
          <w:szCs w:val="26"/>
        </w:rPr>
        <w:t>r</w:t>
      </w:r>
      <w:r w:rsidRPr="00D222A0">
        <w:rPr>
          <w:rStyle w:val="PageNumber"/>
          <w:rFonts w:cs="Times New Roman"/>
          <w:sz w:val="26"/>
          <w:szCs w:val="26"/>
        </w:rPr>
        <w:t>ian</w:t>
      </w:r>
      <w:proofErr w:type="spellEnd"/>
      <w:r>
        <w:rPr>
          <w:rStyle w:val="PageNumber"/>
          <w:sz w:val="26"/>
          <w:szCs w:val="26"/>
        </w:rPr>
        <w:t xml:space="preserve">. </w:t>
      </w:r>
    </w:p>
    <w:p w:rsidR="00E05106" w:rsidP="00E05106" w:rsidRDefault="00E05106">
      <w:pPr>
        <w:spacing w:line="360" w:lineRule="auto"/>
        <w:ind w:firstLine="340"/>
        <w:jc w:val="both"/>
        <w:rPr>
          <w:rStyle w:val="PageNumber"/>
          <w:sz w:val="26"/>
          <w:szCs w:val="26"/>
          <w:shd w:val="clear" w:color="auto" w:fill="FF0000"/>
        </w:rPr>
      </w:pPr>
      <w:r>
        <w:rPr>
          <w:rStyle w:val="PageNumber"/>
          <w:sz w:val="26"/>
          <w:szCs w:val="26"/>
          <w:shd w:val="clear" w:color="auto" w:fill="FF0000"/>
        </w:rPr>
        <w:t xml:space="preserve"> </w:t>
      </w:r>
    </w:p>
    <w:p w:rsidR="00E05106" w:rsidP="00E05106" w:rsidRDefault="00E05106">
      <w:pPr>
        <w:spacing w:line="360" w:lineRule="auto"/>
        <w:jc w:val="both"/>
        <w:rPr>
          <w:sz w:val="26"/>
          <w:szCs w:val="26"/>
        </w:rPr>
      </w:pPr>
    </w:p>
    <w:p w:rsidR="00E05106" w:rsidP="00E05106" w:rsidRDefault="00E05106">
      <w:pPr>
        <w:spacing w:line="360" w:lineRule="auto"/>
      </w:pPr>
      <w:r>
        <w:rPr>
          <w:rStyle w:val="PageNumber"/>
          <w:sz w:val="26"/>
          <w:szCs w:val="26"/>
        </w:rPr>
        <w:t>[RSASPH f. 82. inv. 2. fold. 1043, p. 204]</w:t>
      </w:r>
    </w:p>
    <w:p w:rsidR="00E05106" w:rsidP="00E05106" w:rsidRDefault="00E05106">
      <w:pPr>
        <w:spacing w:line="360" w:lineRule="auto"/>
        <w:rPr>
          <w:rStyle w:val="PageNumber"/>
          <w:sz w:val="26"/>
          <w:szCs w:val="26"/>
        </w:rPr>
      </w:pPr>
      <w:r>
        <w:rPr>
          <w:rStyle w:val="PageNumber"/>
          <w:sz w:val="26"/>
          <w:szCs w:val="26"/>
        </w:rPr>
        <w:t>Keywords: Middle East</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06" w:rsidRDefault="00E05106" w:rsidP="00E05106">
      <w:r>
        <w:separator/>
      </w:r>
    </w:p>
  </w:endnote>
  <w:endnote w:type="continuationSeparator" w:id="0">
    <w:p w:rsidR="00E05106" w:rsidRDefault="00E05106" w:rsidP="00E0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06" w:rsidRDefault="00E05106" w:rsidP="00E05106">
      <w:r>
        <w:separator/>
      </w:r>
    </w:p>
  </w:footnote>
  <w:footnote w:type="continuationSeparator" w:id="0">
    <w:p w:rsidR="00E05106" w:rsidRDefault="00E05106" w:rsidP="00E05106">
      <w:r>
        <w:continuationSeparator/>
      </w:r>
    </w:p>
  </w:footnote>
  <w:footnote w:id="1">
    <w:p w:rsidR="00E05106" w:rsidRDefault="00E05106" w:rsidP="00E05106">
      <w:pPr>
        <w:pStyle w:val="FootnoteText"/>
      </w:pPr>
      <w:r>
        <w:rPr>
          <w:rStyle w:val="PageNumber"/>
          <w:sz w:val="26"/>
          <w:szCs w:val="26"/>
          <w:vertAlign w:val="superscript"/>
        </w:rPr>
        <w:footnoteRef/>
      </w:r>
      <w:r>
        <w:rPr>
          <w:rStyle w:val="PageNumber"/>
        </w:rPr>
        <w:t xml:space="preserve"> This information goes into the summary report under the sequential number 3 for 10.6.1952.</w:t>
      </w:r>
    </w:p>
  </w:footnote>
  <w:footnote w:id="2">
    <w:p w:rsidR="00E05106" w:rsidRDefault="00E05106" w:rsidP="00E05106">
      <w:pPr>
        <w:pStyle w:val="FootnoteText"/>
      </w:pPr>
      <w:r>
        <w:rPr>
          <w:rStyle w:val="PageNumber"/>
          <w:sz w:val="26"/>
          <w:szCs w:val="26"/>
          <w:vertAlign w:val="superscript"/>
        </w:rPr>
        <w:footnoteRef/>
      </w:r>
      <w:r>
        <w:rPr>
          <w:rStyle w:val="PageNumber"/>
        </w:rPr>
        <w:t xml:space="preserve"> </w:t>
      </w:r>
      <w:proofErr w:type="spellStart"/>
      <w:r>
        <w:rPr>
          <w:rStyle w:val="PageNumber"/>
        </w:rPr>
        <w:t>Talal</w:t>
      </w:r>
      <w:proofErr w:type="spellEnd"/>
      <w:r>
        <w:rPr>
          <w:rStyle w:val="PageNumber"/>
        </w:rPr>
        <w:t xml:space="preserve"> ibn Abdullah ibn Hussein ibn Ali – King of Jordan in 1951-1952, abdicating the throne in </w:t>
      </w:r>
      <w:proofErr w:type="spellStart"/>
      <w:r>
        <w:rPr>
          <w:rStyle w:val="PageNumber"/>
        </w:rPr>
        <w:t>favour</w:t>
      </w:r>
      <w:proofErr w:type="spellEnd"/>
      <w:r>
        <w:rPr>
          <w:rStyle w:val="PageNumber"/>
        </w:rPr>
        <w:t xml:space="preserve"> of his son Hussein on 11 August 1952 on account of the state of his health.  </w:t>
      </w:r>
    </w:p>
  </w:footnote>
  <w:footnote w:id="3">
    <w:p w:rsidR="00E05106" w:rsidRDefault="00E05106" w:rsidP="00E05106">
      <w:pPr>
        <w:pStyle w:val="FootnoteText"/>
      </w:pPr>
      <w:r>
        <w:rPr>
          <w:rStyle w:val="PageNumber"/>
          <w:sz w:val="26"/>
          <w:szCs w:val="26"/>
          <w:vertAlign w:val="superscript"/>
        </w:rPr>
        <w:footnoteRef/>
      </w:r>
      <w:r>
        <w:rPr>
          <w:rStyle w:val="PageNumber"/>
        </w:rPr>
        <w:t xml:space="preserve"> Abdullah </w:t>
      </w:r>
      <w:proofErr w:type="gramStart"/>
      <w:r>
        <w:rPr>
          <w:rStyle w:val="PageNumber"/>
        </w:rPr>
        <w:t>I  ibn</w:t>
      </w:r>
      <w:proofErr w:type="gramEnd"/>
      <w:r>
        <w:rPr>
          <w:rStyle w:val="PageNumber"/>
        </w:rPr>
        <w:t xml:space="preserve"> Hussein – Emir of Transjordan in 1921-1946, King of Jordan in 1946-1951 (following the renaming of the Emirate of Transjordan into the Hashemite Kingdom of Jordan in 1946). After the British mandate in Palestine ended in 1948, he took part in the Arab-Israeli war and united Palestine to Jordan within the framework of the policy of creating a “Greater Syria”. He was killed on 20 July 1951 at the entrance to the Al-Aqsa Mosque in Jerusalem by a fighter from the Palestinian nationalist </w:t>
      </w:r>
      <w:proofErr w:type="spellStart"/>
      <w:r>
        <w:rPr>
          <w:rStyle w:val="PageNumber"/>
        </w:rPr>
        <w:t>organisation</w:t>
      </w:r>
      <w:proofErr w:type="spellEnd"/>
      <w:r>
        <w:rPr>
          <w:rStyle w:val="PageNumber"/>
        </w:rPr>
        <w:t xml:space="preserve"> Al-Jihad al-</w:t>
      </w:r>
      <w:proofErr w:type="spellStart"/>
      <w:r>
        <w:rPr>
          <w:rStyle w:val="PageNumber"/>
        </w:rPr>
        <w:t>Muqaddas</w:t>
      </w:r>
      <w:proofErr w:type="spellEnd"/>
      <w:r>
        <w:rPr>
          <w:rStyle w:val="PageNumber"/>
        </w:rPr>
        <w:t xml:space="preserve">. </w:t>
      </w:r>
    </w:p>
  </w:footnote>
  <w:footnote w:id="4">
    <w:p w:rsidR="00E05106" w:rsidRDefault="00E05106" w:rsidP="00E05106">
      <w:pPr>
        <w:pStyle w:val="FootnoteText"/>
      </w:pPr>
      <w:r>
        <w:rPr>
          <w:rStyle w:val="PageNumber"/>
          <w:sz w:val="26"/>
          <w:szCs w:val="26"/>
          <w:vertAlign w:val="superscript"/>
        </w:rPr>
        <w:footnoteRef/>
      </w:r>
      <w:r>
        <w:rPr>
          <w:rStyle w:val="PageNumber"/>
        </w:rPr>
        <w:t xml:space="preserve"> </w:t>
      </w:r>
      <w:proofErr w:type="spellStart"/>
      <w:r>
        <w:rPr>
          <w:rStyle w:val="PageNumber"/>
        </w:rPr>
        <w:t>Glubb</w:t>
      </w:r>
      <w:proofErr w:type="spellEnd"/>
      <w:r>
        <w:rPr>
          <w:rStyle w:val="PageNumber"/>
        </w:rPr>
        <w:t xml:space="preserve">, John </w:t>
      </w:r>
      <w:proofErr w:type="spellStart"/>
      <w:r>
        <w:rPr>
          <w:rStyle w:val="PageNumber"/>
        </w:rPr>
        <w:t>Bagott</w:t>
      </w:r>
      <w:proofErr w:type="spellEnd"/>
      <w:r>
        <w:rPr>
          <w:rStyle w:val="PageNumber"/>
        </w:rPr>
        <w:t xml:space="preserve"> (1897-1986), famous as “</w:t>
      </w:r>
      <w:proofErr w:type="spellStart"/>
      <w:r>
        <w:rPr>
          <w:rStyle w:val="PageNumber"/>
        </w:rPr>
        <w:t>Glubb</w:t>
      </w:r>
      <w:proofErr w:type="spellEnd"/>
      <w:r>
        <w:rPr>
          <w:rStyle w:val="PageNumber"/>
        </w:rPr>
        <w:t xml:space="preserve"> Pasha” – British General, Commander of the Arab Legion in Transjordan from 1939; in this capacity he took part in the Arab-Israeli war of 1947-1949 on the side of Arab troops. He received the title Pasha from the Emir of Transjordan. In 1956 he was dismissed from service by King Hussein. </w:t>
      </w:r>
    </w:p>
  </w:footnote>
  <w:footnote w:id="5">
    <w:p w:rsidR="00E05106" w:rsidRDefault="00E05106" w:rsidP="00E05106">
      <w:pPr>
        <w:pStyle w:val="FootnoteText"/>
      </w:pPr>
      <w:r>
        <w:rPr>
          <w:rStyle w:val="PageNumber"/>
          <w:sz w:val="26"/>
          <w:szCs w:val="26"/>
          <w:vertAlign w:val="superscript"/>
        </w:rPr>
        <w:footnoteRef/>
      </w:r>
      <w:r>
        <w:rPr>
          <w:rStyle w:val="PageNumber"/>
        </w:rPr>
        <w:t xml:space="preserve"> </w:t>
      </w:r>
      <w:proofErr w:type="spellStart"/>
      <w:r>
        <w:rPr>
          <w:rStyle w:val="PageNumber"/>
        </w:rPr>
        <w:t>Talal</w:t>
      </w:r>
      <w:proofErr w:type="spellEnd"/>
      <w:r>
        <w:rPr>
          <w:rStyle w:val="PageNumber"/>
        </w:rPr>
        <w:t xml:space="preserve"> I ben Abdullah ben al-Hussein (1935-1999). Attended Victoria College in Alexandria (Egypt) and Harrow College in Great Britain, then the Royal Military Academy </w:t>
      </w:r>
      <w:proofErr w:type="spellStart"/>
      <w:r>
        <w:rPr>
          <w:rStyle w:val="PageNumber"/>
        </w:rPr>
        <w:t>Sandhurst</w:t>
      </w:r>
      <w:proofErr w:type="spellEnd"/>
      <w:r>
        <w:rPr>
          <w:rStyle w:val="PageNumber"/>
        </w:rPr>
        <w:t xml:space="preserve"> (Great Britain). King of Jordan (1952-1999).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06"/>
    <w:rsid w:val="00E05106"/>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065AE-F55A-44A6-A563-E678F828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510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E05106"/>
    <w:rPr>
      <w:lang w:val="en-US"/>
    </w:rPr>
  </w:style>
  <w:style w:type="paragraph" w:styleId="FootnoteText">
    <w:name w:val="footnote text"/>
    <w:link w:val="FootnoteTextChar"/>
    <w:rsid w:val="00E0510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E05106"/>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1952-06-10 Documents submitted to Molotov</dc:title>
  <dc:subject>
  </dc:subject>
  <dc:creator>Kozielska,MM  (ug)</dc:creator>
  <cp:keywords>
  </cp:keywords>
  <dc:description>
  </dc:description>
  <cp:lastModifiedBy>Joseph Barnsley</cp:lastModifiedBy>
  <cp:revision>1</cp:revision>
  <dcterms:created xsi:type="dcterms:W3CDTF">2016-07-13T09:50:00Z</dcterms:created>
  <dcterms:modified xsi:type="dcterms:W3CDTF">2017-07-19T13:55:14Z</dcterms:modified>
</cp:coreProperties>
</file>