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655" w:rsidRDefault="00712655" w:rsidP="00712655">
      <w:pPr>
        <w:spacing w:line="360" w:lineRule="auto"/>
        <w:rPr>
          <w:rStyle w:val="PageNumber"/>
          <w:sz w:val="26"/>
          <w:szCs w:val="26"/>
        </w:rPr>
      </w:pPr>
      <w:r>
        <w:rPr>
          <w:rStyle w:val="PageNumber"/>
          <w:sz w:val="26"/>
          <w:szCs w:val="26"/>
        </w:rPr>
        <w:t xml:space="preserve">Letter from the Head of II European Section at the Ministry of Foreign Affairs of the USSR, V. Pavlov, to Comrade </w:t>
      </w:r>
      <w:proofErr w:type="spellStart"/>
      <w:r>
        <w:rPr>
          <w:rStyle w:val="PageNumber"/>
          <w:sz w:val="26"/>
          <w:szCs w:val="26"/>
        </w:rPr>
        <w:t>Ponomarev</w:t>
      </w:r>
      <w:proofErr w:type="spellEnd"/>
      <w:r>
        <w:rPr>
          <w:rStyle w:val="FootnoteReference"/>
          <w:sz w:val="26"/>
          <w:szCs w:val="26"/>
          <w:lang w:val="en-US"/>
        </w:rPr>
        <w:footnoteReference w:id="1"/>
      </w:r>
      <w:r>
        <w:rPr>
          <w:rStyle w:val="PageNumber"/>
          <w:sz w:val="26"/>
          <w:szCs w:val="26"/>
        </w:rPr>
        <w:t xml:space="preserve">, 28 January 1952 </w:t>
      </w:r>
    </w:p>
    <w:p w:rsidR="00712655" w:rsidRDefault="00712655" w:rsidP="00712655">
      <w:pPr>
        <w:spacing w:line="360" w:lineRule="auto"/>
        <w:rPr>
          <w:sz w:val="26"/>
          <w:szCs w:val="26"/>
        </w:rPr>
      </w:pPr>
    </w:p>
    <w:p w:rsidR="00712655" w:rsidRDefault="00712655" w:rsidP="00712655">
      <w:pPr>
        <w:widowControl w:val="0"/>
        <w:spacing w:line="360" w:lineRule="auto"/>
        <w:rPr>
          <w:rStyle w:val="PageNumber"/>
          <w:sz w:val="26"/>
          <w:szCs w:val="26"/>
        </w:rPr>
      </w:pPr>
      <w:r>
        <w:rPr>
          <w:rStyle w:val="PageNumber"/>
          <w:sz w:val="26"/>
          <w:szCs w:val="26"/>
        </w:rPr>
        <w:t>28 Jan 52.</w:t>
      </w:r>
      <w:bookmarkStart w:id="0" w:name="_GoBack"/>
      <w:bookmarkEnd w:id="0"/>
    </w:p>
    <w:p w:rsidR="00712655" w:rsidRDefault="00712655" w:rsidP="00712655">
      <w:pPr>
        <w:widowControl w:val="0"/>
        <w:spacing w:line="360" w:lineRule="auto"/>
        <w:rPr>
          <w:rStyle w:val="PageNumber"/>
          <w:sz w:val="26"/>
          <w:szCs w:val="26"/>
        </w:rPr>
      </w:pPr>
      <w:r>
        <w:rPr>
          <w:rStyle w:val="PageNumber"/>
          <w:sz w:val="26"/>
          <w:szCs w:val="26"/>
        </w:rPr>
        <w:t xml:space="preserve">Ministry of Foreign Affairs II </w:t>
      </w:r>
      <w:proofErr w:type="spellStart"/>
      <w:r>
        <w:rPr>
          <w:rStyle w:val="PageNumber"/>
          <w:sz w:val="26"/>
          <w:szCs w:val="26"/>
        </w:rPr>
        <w:t>Еuropean</w:t>
      </w:r>
      <w:proofErr w:type="spellEnd"/>
      <w:r>
        <w:rPr>
          <w:rStyle w:val="PageNumber"/>
          <w:sz w:val="26"/>
          <w:szCs w:val="26"/>
        </w:rPr>
        <w:t xml:space="preserve"> Section</w:t>
      </w:r>
    </w:p>
    <w:p w:rsidR="00712655" w:rsidRDefault="00712655" w:rsidP="00712655">
      <w:pPr>
        <w:widowControl w:val="0"/>
        <w:spacing w:line="360" w:lineRule="auto"/>
        <w:rPr>
          <w:rStyle w:val="PageNumber"/>
          <w:sz w:val="26"/>
          <w:szCs w:val="26"/>
        </w:rPr>
      </w:pPr>
      <w:r>
        <w:rPr>
          <w:rStyle w:val="PageNumber"/>
          <w:sz w:val="26"/>
          <w:szCs w:val="26"/>
        </w:rPr>
        <w:t xml:space="preserve">To </w:t>
      </w:r>
      <w:proofErr w:type="spellStart"/>
      <w:r>
        <w:rPr>
          <w:rStyle w:val="PageNumber"/>
          <w:sz w:val="26"/>
          <w:szCs w:val="26"/>
        </w:rPr>
        <w:t>Cde</w:t>
      </w:r>
      <w:proofErr w:type="spellEnd"/>
      <w:r>
        <w:rPr>
          <w:rStyle w:val="PageNumber"/>
          <w:sz w:val="26"/>
          <w:szCs w:val="26"/>
        </w:rPr>
        <w:t xml:space="preserve"> </w:t>
      </w:r>
      <w:proofErr w:type="spellStart"/>
      <w:r>
        <w:rPr>
          <w:rStyle w:val="PageNumber"/>
          <w:sz w:val="26"/>
          <w:szCs w:val="26"/>
        </w:rPr>
        <w:t>Ponomarev</w:t>
      </w:r>
      <w:proofErr w:type="spellEnd"/>
    </w:p>
    <w:p w:rsidR="00712655" w:rsidRDefault="00712655" w:rsidP="00712655">
      <w:pPr>
        <w:widowControl w:val="0"/>
        <w:spacing w:line="360" w:lineRule="auto"/>
        <w:rPr>
          <w:sz w:val="26"/>
          <w:szCs w:val="26"/>
          <w:lang w:val="en-US"/>
        </w:rPr>
      </w:pPr>
    </w:p>
    <w:p w:rsidR="00712655" w:rsidRDefault="00712655" w:rsidP="00712655">
      <w:pPr>
        <w:widowControl w:val="0"/>
        <w:spacing w:line="360" w:lineRule="auto"/>
        <w:jc w:val="both"/>
        <w:rPr>
          <w:rStyle w:val="PageNumber"/>
          <w:sz w:val="26"/>
          <w:szCs w:val="26"/>
        </w:rPr>
      </w:pPr>
      <w:r>
        <w:rPr>
          <w:rStyle w:val="PageNumber"/>
          <w:sz w:val="26"/>
          <w:szCs w:val="26"/>
        </w:rPr>
        <w:t xml:space="preserve">Sending you a copy of the record of conversations between 1st Secretary of the Soviet Embassy in London, </w:t>
      </w:r>
      <w:proofErr w:type="spellStart"/>
      <w:r>
        <w:rPr>
          <w:rStyle w:val="PageNumber"/>
          <w:sz w:val="26"/>
          <w:szCs w:val="26"/>
        </w:rPr>
        <w:t>Cde</w:t>
      </w:r>
      <w:proofErr w:type="spellEnd"/>
      <w:r>
        <w:rPr>
          <w:rStyle w:val="PageNumber"/>
          <w:sz w:val="26"/>
          <w:szCs w:val="26"/>
        </w:rPr>
        <w:t xml:space="preserve"> </w:t>
      </w:r>
      <w:proofErr w:type="spellStart"/>
      <w:r>
        <w:rPr>
          <w:rStyle w:val="PageNumber"/>
          <w:sz w:val="26"/>
          <w:szCs w:val="26"/>
        </w:rPr>
        <w:t>Bruslov</w:t>
      </w:r>
      <w:proofErr w:type="spellEnd"/>
      <w:r>
        <w:rPr>
          <w:rStyle w:val="PageNumber"/>
          <w:sz w:val="26"/>
          <w:szCs w:val="26"/>
        </w:rPr>
        <w:t>, and Ivor Montagu</w:t>
      </w:r>
      <w:r>
        <w:rPr>
          <w:rStyle w:val="PageNumber"/>
          <w:sz w:val="26"/>
          <w:szCs w:val="26"/>
        </w:rPr>
        <w:footnoteReference w:id="2"/>
      </w:r>
      <w:r>
        <w:rPr>
          <w:rStyle w:val="PageNumber"/>
          <w:sz w:val="26"/>
          <w:szCs w:val="26"/>
        </w:rPr>
        <w:t xml:space="preserve"> containing some information on the pace of preparations in Britain for the economic meeting in Moscow in April this year.</w:t>
      </w:r>
    </w:p>
    <w:p w:rsidR="00712655" w:rsidRDefault="00712655" w:rsidP="00712655">
      <w:pPr>
        <w:widowControl w:val="0"/>
        <w:spacing w:line="360" w:lineRule="auto"/>
        <w:rPr>
          <w:sz w:val="26"/>
          <w:szCs w:val="26"/>
          <w:lang w:val="en-US"/>
        </w:rPr>
      </w:pPr>
    </w:p>
    <w:p w:rsidR="00712655" w:rsidRDefault="00712655" w:rsidP="00712655">
      <w:pPr>
        <w:widowControl w:val="0"/>
        <w:spacing w:line="360" w:lineRule="auto"/>
        <w:rPr>
          <w:rStyle w:val="PageNumber"/>
          <w:sz w:val="26"/>
          <w:szCs w:val="26"/>
        </w:rPr>
      </w:pPr>
      <w:r>
        <w:rPr>
          <w:rStyle w:val="PageNumber"/>
          <w:sz w:val="26"/>
          <w:szCs w:val="26"/>
        </w:rPr>
        <w:t xml:space="preserve">Head II </w:t>
      </w:r>
      <w:proofErr w:type="spellStart"/>
      <w:r>
        <w:rPr>
          <w:rStyle w:val="PageNumber"/>
          <w:sz w:val="26"/>
          <w:szCs w:val="26"/>
        </w:rPr>
        <w:t>Еuropean</w:t>
      </w:r>
      <w:proofErr w:type="spellEnd"/>
      <w:r>
        <w:rPr>
          <w:rStyle w:val="PageNumber"/>
          <w:sz w:val="26"/>
          <w:szCs w:val="26"/>
        </w:rPr>
        <w:t xml:space="preserve"> Section, V. Pavlov</w:t>
      </w:r>
      <w:r>
        <w:rPr>
          <w:rStyle w:val="PageNumber"/>
          <w:sz w:val="26"/>
          <w:szCs w:val="26"/>
        </w:rPr>
        <w:footnoteReference w:id="3"/>
      </w:r>
    </w:p>
    <w:p w:rsidR="00712655" w:rsidRDefault="00712655" w:rsidP="00712655">
      <w:pPr>
        <w:widowControl w:val="0"/>
        <w:spacing w:line="360" w:lineRule="auto"/>
        <w:rPr>
          <w:sz w:val="26"/>
          <w:szCs w:val="26"/>
          <w:lang w:val="en-US"/>
        </w:rPr>
      </w:pPr>
    </w:p>
    <w:p w:rsidR="00712655" w:rsidRDefault="00712655" w:rsidP="00712655">
      <w:pPr>
        <w:widowControl w:val="0"/>
        <w:spacing w:line="360" w:lineRule="auto"/>
        <w:rPr>
          <w:rStyle w:val="PageNumber"/>
          <w:sz w:val="26"/>
          <w:szCs w:val="26"/>
        </w:rPr>
      </w:pPr>
      <w:r>
        <w:rPr>
          <w:rStyle w:val="PageNumber"/>
          <w:sz w:val="26"/>
          <w:szCs w:val="26"/>
        </w:rPr>
        <w:t>Record of conversations on 11 &amp; 17 Jan 52.</w:t>
      </w:r>
    </w:p>
    <w:p w:rsidR="00712655" w:rsidRDefault="00712655" w:rsidP="00712655">
      <w:pPr>
        <w:widowControl w:val="0"/>
        <w:spacing w:line="360" w:lineRule="auto"/>
        <w:rPr>
          <w:sz w:val="26"/>
          <w:szCs w:val="26"/>
          <w:lang w:val="en-US"/>
        </w:rPr>
      </w:pPr>
    </w:p>
    <w:p w:rsidR="00712655" w:rsidRDefault="00712655" w:rsidP="00712655">
      <w:pPr>
        <w:widowControl w:val="0"/>
        <w:spacing w:line="360" w:lineRule="auto"/>
        <w:jc w:val="both"/>
        <w:rPr>
          <w:rStyle w:val="PageNumber"/>
          <w:sz w:val="26"/>
          <w:szCs w:val="26"/>
        </w:rPr>
      </w:pPr>
      <w:r>
        <w:rPr>
          <w:rStyle w:val="PageNumber"/>
          <w:sz w:val="26"/>
          <w:szCs w:val="26"/>
        </w:rPr>
        <w:t>Robinson Joan</w:t>
      </w:r>
      <w:r>
        <w:rPr>
          <w:rStyle w:val="PageNumber"/>
          <w:sz w:val="26"/>
          <w:szCs w:val="26"/>
        </w:rPr>
        <w:footnoteReference w:id="4"/>
      </w:r>
      <w:r>
        <w:rPr>
          <w:rStyle w:val="PageNumber"/>
          <w:sz w:val="26"/>
          <w:szCs w:val="26"/>
        </w:rPr>
        <w:t xml:space="preserve"> – prof. Cambridge </w:t>
      </w:r>
      <w:proofErr w:type="spellStart"/>
      <w:r>
        <w:rPr>
          <w:rStyle w:val="PageNumber"/>
          <w:sz w:val="26"/>
          <w:szCs w:val="26"/>
        </w:rPr>
        <w:t>Univ</w:t>
      </w:r>
      <w:proofErr w:type="spellEnd"/>
      <w:r>
        <w:rPr>
          <w:rStyle w:val="PageNumber"/>
          <w:sz w:val="26"/>
          <w:szCs w:val="26"/>
        </w:rPr>
        <w:t xml:space="preserve">, Soc. </w:t>
      </w:r>
      <w:proofErr w:type="spellStart"/>
      <w:r>
        <w:rPr>
          <w:rStyle w:val="PageNumber"/>
          <w:sz w:val="26"/>
          <w:szCs w:val="26"/>
        </w:rPr>
        <w:t>Democ</w:t>
      </w:r>
      <w:proofErr w:type="spellEnd"/>
      <w:r>
        <w:rPr>
          <w:rStyle w:val="PageNumber"/>
          <w:sz w:val="26"/>
          <w:szCs w:val="26"/>
        </w:rPr>
        <w:t xml:space="preserve">. </w:t>
      </w:r>
      <w:proofErr w:type="gramStart"/>
      <w:r>
        <w:rPr>
          <w:rStyle w:val="PageNumber"/>
          <w:sz w:val="26"/>
          <w:szCs w:val="26"/>
        </w:rPr>
        <w:t>views</w:t>
      </w:r>
      <w:proofErr w:type="gramEnd"/>
    </w:p>
    <w:p w:rsidR="00712655" w:rsidRDefault="00712655" w:rsidP="00712655">
      <w:pPr>
        <w:widowControl w:val="0"/>
        <w:spacing w:line="360" w:lineRule="auto"/>
        <w:jc w:val="both"/>
        <w:rPr>
          <w:rStyle w:val="PageNumber"/>
          <w:sz w:val="26"/>
          <w:szCs w:val="26"/>
        </w:rPr>
      </w:pPr>
      <w:proofErr w:type="spellStart"/>
      <w:r>
        <w:rPr>
          <w:rStyle w:val="PageNumber"/>
          <w:sz w:val="26"/>
          <w:szCs w:val="26"/>
        </w:rPr>
        <w:t>Walston</w:t>
      </w:r>
      <w:proofErr w:type="spellEnd"/>
      <w:r>
        <w:rPr>
          <w:rStyle w:val="PageNumber"/>
          <w:sz w:val="26"/>
          <w:szCs w:val="26"/>
        </w:rPr>
        <w:t xml:space="preserve"> H.D.</w:t>
      </w:r>
      <w:r>
        <w:rPr>
          <w:rStyle w:val="PageNumber"/>
          <w:sz w:val="26"/>
          <w:szCs w:val="26"/>
        </w:rPr>
        <w:footnoteReference w:id="5"/>
      </w:r>
      <w:r>
        <w:rPr>
          <w:rStyle w:val="PageNumber"/>
          <w:sz w:val="26"/>
          <w:szCs w:val="26"/>
        </w:rPr>
        <w:t xml:space="preserve"> – businessman, was Lab. Party candidate in ’51, defeated</w:t>
      </w:r>
    </w:p>
    <w:p w:rsidR="00712655" w:rsidRDefault="00712655" w:rsidP="00712655">
      <w:pPr>
        <w:widowControl w:val="0"/>
        <w:spacing w:line="360" w:lineRule="auto"/>
        <w:jc w:val="both"/>
        <w:rPr>
          <w:rStyle w:val="PageNumber"/>
          <w:sz w:val="26"/>
          <w:szCs w:val="26"/>
        </w:rPr>
      </w:pPr>
      <w:r>
        <w:rPr>
          <w:rStyle w:val="PageNumber"/>
          <w:sz w:val="26"/>
          <w:szCs w:val="26"/>
        </w:rPr>
        <w:t>Browne – Browne Montague’s</w:t>
      </w:r>
      <w:r>
        <w:rPr>
          <w:rStyle w:val="PageNumber"/>
          <w:sz w:val="26"/>
          <w:szCs w:val="26"/>
        </w:rPr>
        <w:footnoteReference w:id="6"/>
      </w:r>
      <w:r>
        <w:rPr>
          <w:rStyle w:val="PageNumber"/>
          <w:sz w:val="26"/>
          <w:szCs w:val="26"/>
        </w:rPr>
        <w:t xml:space="preserve"> Christian name unknown, is a representative of the firm </w:t>
      </w:r>
      <w:proofErr w:type="spellStart"/>
      <w:r>
        <w:rPr>
          <w:rStyle w:val="PageNumber"/>
          <w:sz w:val="26"/>
          <w:szCs w:val="26"/>
        </w:rPr>
        <w:t>Glassimettal</w:t>
      </w:r>
      <w:proofErr w:type="spellEnd"/>
      <w:r>
        <w:rPr>
          <w:rStyle w:val="PageNumber"/>
          <w:sz w:val="26"/>
          <w:szCs w:val="26"/>
        </w:rPr>
        <w:t xml:space="preserve">, philanthropist and eccentric, </w:t>
      </w:r>
      <w:proofErr w:type="spellStart"/>
      <w:r>
        <w:rPr>
          <w:rStyle w:val="PageNumber"/>
          <w:sz w:val="26"/>
          <w:szCs w:val="26"/>
        </w:rPr>
        <w:t>sympathises</w:t>
      </w:r>
      <w:proofErr w:type="spellEnd"/>
      <w:r>
        <w:rPr>
          <w:rStyle w:val="PageNumber"/>
          <w:sz w:val="26"/>
          <w:szCs w:val="26"/>
        </w:rPr>
        <w:t xml:space="preserve"> with progressive movements.</w:t>
      </w:r>
    </w:p>
    <w:p w:rsidR="00712655" w:rsidRDefault="00712655" w:rsidP="00712655">
      <w:pPr>
        <w:widowControl w:val="0"/>
        <w:spacing w:line="360" w:lineRule="auto"/>
        <w:jc w:val="both"/>
        <w:rPr>
          <w:rStyle w:val="PageNumber"/>
          <w:sz w:val="26"/>
          <w:szCs w:val="26"/>
        </w:rPr>
      </w:pPr>
      <w:r>
        <w:rPr>
          <w:rStyle w:val="PageNumber"/>
          <w:sz w:val="26"/>
          <w:szCs w:val="26"/>
        </w:rPr>
        <w:t xml:space="preserve">Montagu and his friends want to bring Mortimer, well known to them, into the </w:t>
      </w:r>
      <w:r>
        <w:rPr>
          <w:rStyle w:val="PageNumber"/>
          <w:sz w:val="26"/>
          <w:szCs w:val="26"/>
        </w:rPr>
        <w:lastRenderedPageBreak/>
        <w:t>committee</w:t>
      </w:r>
    </w:p>
    <w:p w:rsidR="00712655" w:rsidRDefault="00712655" w:rsidP="00712655">
      <w:pPr>
        <w:widowControl w:val="0"/>
        <w:spacing w:line="360" w:lineRule="auto"/>
        <w:jc w:val="both"/>
        <w:rPr>
          <w:rStyle w:val="PageNumber"/>
          <w:sz w:val="26"/>
          <w:szCs w:val="26"/>
        </w:rPr>
      </w:pPr>
      <w:r>
        <w:rPr>
          <w:rStyle w:val="PageNumber"/>
          <w:sz w:val="26"/>
          <w:szCs w:val="26"/>
        </w:rPr>
        <w:t xml:space="preserve">[…] this would have its positive outcome – the possession of knowledge by the leadership of progressive </w:t>
      </w:r>
      <w:proofErr w:type="spellStart"/>
      <w:r>
        <w:rPr>
          <w:rStyle w:val="PageNumber"/>
          <w:sz w:val="26"/>
          <w:szCs w:val="26"/>
        </w:rPr>
        <w:t>organisations</w:t>
      </w:r>
      <w:proofErr w:type="spellEnd"/>
      <w:r>
        <w:rPr>
          <w:rStyle w:val="PageNumber"/>
          <w:sz w:val="26"/>
          <w:szCs w:val="26"/>
        </w:rPr>
        <w:t xml:space="preserve"> in Britain about the scope of work in preparation for the economic conference.</w:t>
      </w:r>
    </w:p>
    <w:p w:rsidR="00712655" w:rsidRDefault="00712655" w:rsidP="00712655">
      <w:pPr>
        <w:widowControl w:val="0"/>
        <w:spacing w:line="360" w:lineRule="auto"/>
        <w:rPr>
          <w:sz w:val="26"/>
          <w:szCs w:val="26"/>
          <w:lang w:val="en-US"/>
        </w:rPr>
      </w:pPr>
    </w:p>
    <w:p w:rsidR="00712655" w:rsidRDefault="00712655" w:rsidP="00712655">
      <w:pPr>
        <w:widowControl w:val="0"/>
        <w:spacing w:line="360" w:lineRule="auto"/>
        <w:rPr>
          <w:rStyle w:val="PageNumber"/>
          <w:sz w:val="26"/>
          <w:szCs w:val="26"/>
        </w:rPr>
      </w:pPr>
      <w:r>
        <w:rPr>
          <w:rStyle w:val="PageNumber"/>
          <w:sz w:val="26"/>
          <w:szCs w:val="26"/>
        </w:rPr>
        <w:t>Prof Robinson attended meetings of the Economics conference in Prague and Copenhagen.</w:t>
      </w:r>
    </w:p>
    <w:p w:rsidR="00712655" w:rsidRDefault="00712655" w:rsidP="00712655">
      <w:pPr>
        <w:widowControl w:val="0"/>
        <w:spacing w:line="360" w:lineRule="auto"/>
        <w:jc w:val="both"/>
        <w:rPr>
          <w:rStyle w:val="PageNumber"/>
          <w:sz w:val="26"/>
          <w:szCs w:val="26"/>
        </w:rPr>
      </w:pPr>
      <w:r>
        <w:rPr>
          <w:rStyle w:val="PageNumber"/>
          <w:sz w:val="26"/>
          <w:szCs w:val="26"/>
        </w:rPr>
        <w:t xml:space="preserve">Robinson, </w:t>
      </w:r>
      <w:proofErr w:type="spellStart"/>
      <w:r>
        <w:rPr>
          <w:rStyle w:val="PageNumber"/>
          <w:sz w:val="26"/>
          <w:szCs w:val="26"/>
        </w:rPr>
        <w:t>Walston</w:t>
      </w:r>
      <w:proofErr w:type="spellEnd"/>
      <w:r>
        <w:rPr>
          <w:rStyle w:val="PageNumber"/>
          <w:sz w:val="26"/>
          <w:szCs w:val="26"/>
        </w:rPr>
        <w:t xml:space="preserve"> and Browne rec’d instructions at these conferences to conduct their work of preparation for the economic conference independently of the </w:t>
      </w:r>
      <w:proofErr w:type="spellStart"/>
      <w:r>
        <w:rPr>
          <w:rStyle w:val="PageNumber"/>
          <w:sz w:val="26"/>
          <w:szCs w:val="26"/>
        </w:rPr>
        <w:t>organisation</w:t>
      </w:r>
      <w:proofErr w:type="spellEnd"/>
      <w:r>
        <w:rPr>
          <w:rStyle w:val="PageNumber"/>
          <w:sz w:val="26"/>
          <w:szCs w:val="26"/>
        </w:rPr>
        <w:t xml:space="preserve"> of supporters for the peace movement in Britain. As a result of this Robinson, </w:t>
      </w:r>
      <w:proofErr w:type="spellStart"/>
      <w:r>
        <w:rPr>
          <w:rStyle w:val="PageNumber"/>
          <w:sz w:val="26"/>
          <w:szCs w:val="26"/>
        </w:rPr>
        <w:t>Walston</w:t>
      </w:r>
      <w:proofErr w:type="spellEnd"/>
      <w:r>
        <w:rPr>
          <w:rStyle w:val="PageNumber"/>
          <w:sz w:val="26"/>
          <w:szCs w:val="26"/>
        </w:rPr>
        <w:t xml:space="preserve"> and Browne carried out their work without informing the leadership of the committee of supporters of the peace movement in Britain and their friends.</w:t>
      </w:r>
    </w:p>
    <w:p w:rsidR="00712655" w:rsidRDefault="00712655" w:rsidP="00712655">
      <w:pPr>
        <w:widowControl w:val="0"/>
        <w:spacing w:line="360" w:lineRule="auto"/>
        <w:jc w:val="both"/>
        <w:rPr>
          <w:rStyle w:val="PageNumber"/>
          <w:sz w:val="26"/>
          <w:szCs w:val="26"/>
        </w:rPr>
      </w:pPr>
      <w:r>
        <w:rPr>
          <w:rStyle w:val="PageNumber"/>
          <w:sz w:val="26"/>
          <w:szCs w:val="26"/>
        </w:rPr>
        <w:t xml:space="preserve">There are grounds to suppose that the campaign in the </w:t>
      </w:r>
      <w:r>
        <w:rPr>
          <w:rStyle w:val="PageNumber"/>
          <w:i/>
          <w:iCs/>
          <w:sz w:val="26"/>
          <w:szCs w:val="26"/>
        </w:rPr>
        <w:t>Daily Worker</w:t>
      </w:r>
      <w:r>
        <w:rPr>
          <w:rStyle w:val="PageNumber"/>
          <w:sz w:val="26"/>
          <w:szCs w:val="26"/>
        </w:rPr>
        <w:t xml:space="preserve"> for participation in the conference would not have brought positive results, in as much as we are interested in attracting people to participate in the conference with political beliefs different from those of readers of the </w:t>
      </w:r>
      <w:r>
        <w:rPr>
          <w:rStyle w:val="PageNumber"/>
          <w:i/>
          <w:iCs/>
          <w:sz w:val="26"/>
          <w:szCs w:val="26"/>
        </w:rPr>
        <w:t>Daily Worker</w:t>
      </w:r>
      <w:r>
        <w:rPr>
          <w:rStyle w:val="PageNumber"/>
          <w:sz w:val="26"/>
          <w:szCs w:val="26"/>
        </w:rPr>
        <w:t xml:space="preserve">. However, having a place, the full transfer of the matter of selecting the English participants in the conference into Robinson’s hands instils well-known fears of Browne and </w:t>
      </w:r>
      <w:proofErr w:type="spellStart"/>
      <w:r>
        <w:rPr>
          <w:rStyle w:val="PageNumber"/>
          <w:sz w:val="26"/>
          <w:szCs w:val="26"/>
        </w:rPr>
        <w:t>Walston</w:t>
      </w:r>
      <w:proofErr w:type="spellEnd"/>
      <w:r>
        <w:rPr>
          <w:rStyle w:val="PageNumber"/>
          <w:sz w:val="26"/>
          <w:szCs w:val="26"/>
        </w:rPr>
        <w:t xml:space="preserve"> in Montagu. Although he believes these three people to be decent, he does not exclude the possibility of disrupting the preparation work in the event that by the moment the conference is called the political situation is aggravated under the influence of some event arising.</w:t>
      </w:r>
    </w:p>
    <w:p w:rsidR="00712655" w:rsidRDefault="00712655" w:rsidP="00712655">
      <w:pPr>
        <w:widowControl w:val="0"/>
        <w:spacing w:line="360" w:lineRule="auto"/>
        <w:rPr>
          <w:sz w:val="26"/>
          <w:szCs w:val="26"/>
          <w:lang w:val="en-US"/>
        </w:rPr>
      </w:pPr>
    </w:p>
    <w:p w:rsidR="00712655" w:rsidRDefault="00712655" w:rsidP="00712655">
      <w:pPr>
        <w:widowControl w:val="0"/>
        <w:spacing w:line="360" w:lineRule="auto"/>
        <w:rPr>
          <w:rStyle w:val="PageNumber"/>
          <w:sz w:val="26"/>
          <w:szCs w:val="26"/>
        </w:rPr>
      </w:pPr>
      <w:r>
        <w:rPr>
          <w:rStyle w:val="PageNumber"/>
          <w:sz w:val="26"/>
          <w:szCs w:val="26"/>
        </w:rPr>
        <w:t>[RSASPH, f.17, folder 137, f. 238]</w:t>
      </w:r>
    </w:p>
    <w:p w:rsidR="00712655" w:rsidRDefault="00712655" w:rsidP="00712655">
      <w:pPr>
        <w:widowControl w:val="0"/>
        <w:spacing w:line="360" w:lineRule="auto"/>
        <w:rPr>
          <w:rStyle w:val="PageNumber"/>
          <w:sz w:val="26"/>
          <w:szCs w:val="26"/>
        </w:rPr>
      </w:pPr>
      <w:r>
        <w:rPr>
          <w:rStyle w:val="PageNumber"/>
          <w:sz w:val="26"/>
          <w:szCs w:val="26"/>
        </w:rPr>
        <w:t>Keywords: Economy</w:t>
      </w:r>
    </w:p>
    <w:p w:rsidR="00ED5E87" w:rsidRDefault="00ED5E87"/>
    <w:sectPr w:rsidR="00ED5E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655" w:rsidRDefault="00712655" w:rsidP="00712655">
      <w:r>
        <w:separator/>
      </w:r>
    </w:p>
  </w:endnote>
  <w:endnote w:type="continuationSeparator" w:id="0">
    <w:p w:rsidR="00712655" w:rsidRDefault="00712655" w:rsidP="00712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655" w:rsidRDefault="00712655" w:rsidP="00712655">
      <w:r>
        <w:separator/>
      </w:r>
    </w:p>
  </w:footnote>
  <w:footnote w:type="continuationSeparator" w:id="0">
    <w:p w:rsidR="00712655" w:rsidRDefault="00712655" w:rsidP="00712655">
      <w:r>
        <w:continuationSeparator/>
      </w:r>
    </w:p>
  </w:footnote>
  <w:footnote w:id="1">
    <w:p w:rsidR="00712655" w:rsidRPr="00730FA0" w:rsidRDefault="00712655" w:rsidP="00712655">
      <w:pPr>
        <w:pStyle w:val="FootnoteText"/>
        <w:rPr>
          <w:lang w:val="en-US"/>
        </w:rPr>
      </w:pPr>
      <w:r>
        <w:rPr>
          <w:rStyle w:val="FootnoteReference"/>
        </w:rPr>
        <w:footnoteRef/>
      </w:r>
      <w:r>
        <w:t xml:space="preserve"> </w:t>
      </w:r>
      <w:r w:rsidRPr="00730FA0">
        <w:rPr>
          <w:bCs/>
        </w:rPr>
        <w:t>Ponomarev</w:t>
      </w:r>
      <w:r>
        <w:rPr>
          <w:bCs/>
        </w:rPr>
        <w:t xml:space="preserve">, </w:t>
      </w:r>
      <w:r w:rsidRPr="00730FA0">
        <w:rPr>
          <w:bCs/>
        </w:rPr>
        <w:t xml:space="preserve"> Boris Nikolayevich </w:t>
      </w:r>
      <w:r>
        <w:rPr>
          <w:bCs/>
        </w:rPr>
        <w:t xml:space="preserve">(1905 – 1995) – Soviet politician, ideologist, historian. </w:t>
      </w:r>
      <w:r>
        <w:t xml:space="preserve">Head of the Department for Relations with Foreign Communist Parties of the Central Committe of the CPSU (1955-1957), Head of the International Departemnt of the Central Committee of the CPSU (1957-1986). </w:t>
      </w:r>
    </w:p>
  </w:footnote>
  <w:footnote w:id="2">
    <w:p w:rsidR="00712655" w:rsidRDefault="00712655" w:rsidP="00712655">
      <w:pPr>
        <w:pStyle w:val="FootnoteText"/>
      </w:pPr>
      <w:r>
        <w:rPr>
          <w:rStyle w:val="PageNumber"/>
          <w:sz w:val="26"/>
          <w:szCs w:val="26"/>
        </w:rPr>
        <w:footnoteRef/>
      </w:r>
      <w:r>
        <w:rPr>
          <w:rStyle w:val="PageNumber"/>
        </w:rPr>
        <w:t xml:space="preserve"> Montagu, Ivor </w:t>
      </w:r>
      <w:proofErr w:type="spellStart"/>
      <w:r>
        <w:rPr>
          <w:rStyle w:val="PageNumber"/>
        </w:rPr>
        <w:t>Goldsmid</w:t>
      </w:r>
      <w:proofErr w:type="spellEnd"/>
      <w:r>
        <w:rPr>
          <w:rStyle w:val="PageNumber"/>
        </w:rPr>
        <w:t xml:space="preserve"> Samuel (1904-1984) – British </w:t>
      </w:r>
      <w:r>
        <w:t>English filmmaker, screenwriter, producer, film critic, writer, Communist activist in the 1930s</w:t>
      </w:r>
      <w:r>
        <w:rPr>
          <w:rStyle w:val="PageNumber"/>
        </w:rPr>
        <w:t xml:space="preserve">. </w:t>
      </w:r>
    </w:p>
  </w:footnote>
  <w:footnote w:id="3">
    <w:p w:rsidR="00712655" w:rsidRDefault="00712655" w:rsidP="00712655">
      <w:pPr>
        <w:pStyle w:val="FootnoteText"/>
      </w:pPr>
      <w:r>
        <w:rPr>
          <w:rStyle w:val="PageNumber"/>
          <w:sz w:val="26"/>
          <w:szCs w:val="26"/>
        </w:rPr>
        <w:footnoteRef/>
      </w:r>
      <w:r>
        <w:rPr>
          <w:rStyle w:val="PageNumber"/>
        </w:rPr>
        <w:t xml:space="preserve"> Pavlov, Vladimir </w:t>
      </w:r>
      <w:proofErr w:type="spellStart"/>
      <w:r>
        <w:rPr>
          <w:rStyle w:val="PageNumber"/>
        </w:rPr>
        <w:t>Nikolaevich</w:t>
      </w:r>
      <w:proofErr w:type="spellEnd"/>
      <w:r>
        <w:rPr>
          <w:rStyle w:val="PageNumber"/>
        </w:rPr>
        <w:t xml:space="preserve"> (1915-1993) – Soviet diplomat and interpreter. Advisor at the Embassy of the USSR in Great Britain (1947—1948). Head of the II European Section of the Ministry of Foreign Affairs of the </w:t>
      </w:r>
      <w:proofErr w:type="gramStart"/>
      <w:r>
        <w:rPr>
          <w:rStyle w:val="PageNumber"/>
        </w:rPr>
        <w:t>USSR(</w:t>
      </w:r>
      <w:proofErr w:type="gramEnd"/>
      <w:r>
        <w:rPr>
          <w:rStyle w:val="PageNumber"/>
        </w:rPr>
        <w:t xml:space="preserve">1949—1952 and in 195). </w:t>
      </w:r>
    </w:p>
  </w:footnote>
  <w:footnote w:id="4">
    <w:p w:rsidR="00712655" w:rsidRDefault="00712655" w:rsidP="00712655">
      <w:pPr>
        <w:pStyle w:val="FootnoteText"/>
      </w:pPr>
      <w:r>
        <w:rPr>
          <w:rStyle w:val="PageNumber"/>
          <w:sz w:val="26"/>
          <w:szCs w:val="26"/>
        </w:rPr>
        <w:footnoteRef/>
      </w:r>
      <w:r>
        <w:rPr>
          <w:rStyle w:val="PageNumber"/>
        </w:rPr>
        <w:t xml:space="preserve"> Robinson, Joan Violet (1903-1983) – British economist, from 1937 lecturer at the University of Cambridge, from 1958 a member of the British Academy. </w:t>
      </w:r>
    </w:p>
  </w:footnote>
  <w:footnote w:id="5">
    <w:p w:rsidR="00712655" w:rsidRDefault="00712655" w:rsidP="00712655">
      <w:pPr>
        <w:pStyle w:val="FootnoteText"/>
      </w:pPr>
      <w:r>
        <w:rPr>
          <w:rStyle w:val="PageNumber"/>
          <w:sz w:val="26"/>
          <w:szCs w:val="26"/>
        </w:rPr>
        <w:footnoteRef/>
      </w:r>
      <w:r>
        <w:rPr>
          <w:rStyle w:val="PageNumber"/>
        </w:rPr>
        <w:t xml:space="preserve"> </w:t>
      </w:r>
      <w:proofErr w:type="spellStart"/>
      <w:r>
        <w:rPr>
          <w:rStyle w:val="PageNumber"/>
        </w:rPr>
        <w:t>Walston</w:t>
      </w:r>
      <w:proofErr w:type="spellEnd"/>
      <w:r>
        <w:rPr>
          <w:rStyle w:val="PageNumber"/>
        </w:rPr>
        <w:t xml:space="preserve">, Henry David Leonard George, Baron </w:t>
      </w:r>
      <w:proofErr w:type="spellStart"/>
      <w:r>
        <w:rPr>
          <w:rStyle w:val="PageNumber"/>
        </w:rPr>
        <w:t>Walston</w:t>
      </w:r>
      <w:proofErr w:type="spellEnd"/>
      <w:r>
        <w:rPr>
          <w:rStyle w:val="PageNumber"/>
        </w:rPr>
        <w:t xml:space="preserve"> (1912-1991) – British farmer, Agronomist, political figure, member of the Liberal Party, in the 1950s a member of the </w:t>
      </w:r>
      <w:proofErr w:type="spellStart"/>
      <w:r>
        <w:rPr>
          <w:rStyle w:val="PageNumber"/>
        </w:rPr>
        <w:t>Labour</w:t>
      </w:r>
      <w:proofErr w:type="spellEnd"/>
      <w:r>
        <w:rPr>
          <w:rStyle w:val="PageNumber"/>
        </w:rPr>
        <w:t xml:space="preserve"> Party. </w:t>
      </w:r>
    </w:p>
  </w:footnote>
  <w:footnote w:id="6">
    <w:p w:rsidR="00712655" w:rsidRDefault="00712655" w:rsidP="00712655">
      <w:pPr>
        <w:pStyle w:val="FootnoteText"/>
      </w:pPr>
      <w:r>
        <w:rPr>
          <w:rStyle w:val="PageNumber"/>
          <w:sz w:val="26"/>
          <w:szCs w:val="26"/>
        </w:rPr>
        <w:footnoteRef/>
      </w:r>
      <w:r>
        <w:rPr>
          <w:rStyle w:val="PageNumber"/>
        </w:rPr>
        <w:t xml:space="preserve"> Most likely refers to Sir Anthony Arthur Duncan Montague Browne (1923-2013) – British diplomat, Private secretary to the Permanent Under-Secretary of State for Foreign Affairs, Sir </w:t>
      </w:r>
      <w:proofErr w:type="spellStart"/>
      <w:r>
        <w:rPr>
          <w:rStyle w:val="PageNumber"/>
        </w:rPr>
        <w:t>Orme</w:t>
      </w:r>
      <w:proofErr w:type="spellEnd"/>
      <w:r>
        <w:rPr>
          <w:rStyle w:val="PageNumber"/>
        </w:rPr>
        <w:t xml:space="preserve"> Sargent (1946-1949); Second Secretary in the British Embassy in Paris (1949 -1952), Private Secretary for Foreign Affairs to the Prime Minister, </w:t>
      </w:r>
      <w:proofErr w:type="spellStart"/>
      <w:r>
        <w:rPr>
          <w:rStyle w:val="PageNumber"/>
        </w:rPr>
        <w:t>Wnston</w:t>
      </w:r>
      <w:proofErr w:type="spellEnd"/>
      <w:r>
        <w:rPr>
          <w:rStyle w:val="PageNumber"/>
        </w:rPr>
        <w:t xml:space="preserve"> Churchill (1952-1955).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655"/>
    <w:rsid w:val="00712655"/>
    <w:rsid w:val="00ED5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0B38F-C45C-4E9F-8323-B8AE64CB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1265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712655"/>
    <w:rPr>
      <w:lang w:val="en-US"/>
    </w:rPr>
  </w:style>
  <w:style w:type="paragraph" w:styleId="FootnoteText">
    <w:name w:val="footnote text"/>
    <w:link w:val="FootnoteTextChar"/>
    <w:rsid w:val="0071265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712655"/>
    <w:rPr>
      <w:rFonts w:ascii="Times New Roman" w:eastAsia="Times New Roman" w:hAnsi="Times New Roman" w:cs="Times New Roman"/>
      <w:color w:val="000000"/>
      <w:sz w:val="20"/>
      <w:szCs w:val="20"/>
      <w:u w:color="000000"/>
      <w:bdr w:val="nil"/>
      <w:lang w:val="ru-RU"/>
    </w:rPr>
  </w:style>
  <w:style w:type="character" w:styleId="FootnoteReference">
    <w:name w:val="footnote reference"/>
    <w:basedOn w:val="DefaultParagraphFont"/>
    <w:uiPriority w:val="99"/>
    <w:unhideWhenUsed/>
    <w:rsid w:val="007126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2016-07-13T09:32:00Z</dcterms:created>
  <dcterms:modified xsi:type="dcterms:W3CDTF">2016-07-13T09:32:00Z</dcterms:modified>
</cp:coreProperties>
</file>