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6DC" w:rsidP="007D06DC" w:rsidRDefault="007D06DC">
      <w:pPr>
        <w:pStyle w:val="CuerpoB"/>
        <w:widowControl w:val="0"/>
        <w:spacing w:line="360" w:lineRule="auto"/>
        <w:jc w:val="both"/>
        <w:rPr>
          <w:rStyle w:val="Ninguno"/>
          <w:sz w:val="28"/>
          <w:szCs w:val="28"/>
        </w:rPr>
      </w:pPr>
      <w:r>
        <w:rPr>
          <w:rStyle w:val="Ninguno"/>
          <w:sz w:val="28"/>
          <w:szCs w:val="28"/>
        </w:rPr>
        <w:t xml:space="preserve">Message from F. </w:t>
      </w:r>
      <w:proofErr w:type="spellStart"/>
      <w:r>
        <w:rPr>
          <w:rStyle w:val="Ninguno"/>
          <w:sz w:val="28"/>
          <w:szCs w:val="28"/>
        </w:rPr>
        <w:t>Gusev</w:t>
      </w:r>
      <w:proofErr w:type="spellEnd"/>
      <w:r>
        <w:rPr>
          <w:rStyle w:val="Ninguno"/>
          <w:sz w:val="28"/>
          <w:szCs w:val="28"/>
        </w:rPr>
        <w:t>, Deputy Minister of Foreign Affairs of the USSR, to V.M. Molotov containing remarks and suggestions regarding the forthcoming session of the Council of Foreign Ministers in London, 17 October 1947</w:t>
      </w:r>
    </w:p>
    <w:p w:rsidR="007D06DC" w:rsidP="007D06DC" w:rsidRDefault="007D06DC">
      <w:pPr>
        <w:pStyle w:val="CuerpoB"/>
        <w:widowControl w:val="0"/>
        <w:spacing w:line="360" w:lineRule="auto"/>
        <w:ind w:firstLine="340"/>
        <w:jc w:val="both"/>
        <w:rPr>
          <w:sz w:val="28"/>
          <w:szCs w:val="28"/>
        </w:rPr>
      </w:pPr>
      <w:bookmarkStart w:name="_GoBack" w:id="0"/>
      <w:bookmarkEnd w:id="0"/>
    </w:p>
    <w:p w:rsidR="007D06DC" w:rsidP="007D06DC" w:rsidRDefault="007D06DC">
      <w:pPr>
        <w:pStyle w:val="CuerpoB"/>
        <w:widowControl w:val="0"/>
        <w:spacing w:line="360" w:lineRule="auto"/>
        <w:jc w:val="both"/>
        <w:rPr>
          <w:rStyle w:val="Ninguno"/>
          <w:sz w:val="28"/>
          <w:szCs w:val="28"/>
        </w:rPr>
      </w:pPr>
      <w:r>
        <w:rPr>
          <w:rStyle w:val="Ninguno"/>
          <w:sz w:val="28"/>
          <w:szCs w:val="28"/>
        </w:rPr>
        <w:t>To Comrade V.M. Molotov.</w:t>
      </w:r>
    </w:p>
    <w:p w:rsidR="007D06DC" w:rsidP="007D06DC" w:rsidRDefault="007D06DC">
      <w:pPr>
        <w:pStyle w:val="CuerpoB"/>
        <w:widowControl w:val="0"/>
        <w:spacing w:line="360" w:lineRule="auto"/>
        <w:ind w:firstLine="340"/>
        <w:jc w:val="both"/>
        <w:rPr>
          <w:sz w:val="28"/>
          <w:szCs w:val="28"/>
        </w:rPr>
      </w:pPr>
    </w:p>
    <w:p w:rsidR="007D06DC" w:rsidP="007D06DC" w:rsidRDefault="007D06DC">
      <w:pPr>
        <w:pStyle w:val="CuerpoB"/>
        <w:widowControl w:val="0"/>
        <w:spacing w:line="360" w:lineRule="auto"/>
        <w:ind w:firstLine="340"/>
        <w:jc w:val="both"/>
        <w:rPr>
          <w:rStyle w:val="Ninguno"/>
          <w:sz w:val="28"/>
          <w:szCs w:val="28"/>
        </w:rPr>
      </w:pPr>
      <w:r>
        <w:rPr>
          <w:rStyle w:val="Ninguno"/>
          <w:sz w:val="28"/>
          <w:szCs w:val="28"/>
        </w:rPr>
        <w:t>I send you some remarks and suggests regarding the forthcoming session of the Council of Foreign Ministers in London at the end of November this year. During the last six months I had no opportunity to study the operational traffic on the issue of Germany, so it is difficult for me to make specific proposals, thus I limited myself to just general observations on the issues which, in my opinion, are of greatest importance.</w:t>
      </w:r>
    </w:p>
    <w:p w:rsidR="007D06DC" w:rsidP="007D06DC" w:rsidRDefault="007D06DC">
      <w:pPr>
        <w:pStyle w:val="CuerpoB"/>
        <w:widowControl w:val="0"/>
        <w:spacing w:line="360" w:lineRule="auto"/>
        <w:ind w:firstLine="340"/>
        <w:jc w:val="both"/>
        <w:rPr>
          <w:rStyle w:val="Ninguno"/>
          <w:sz w:val="28"/>
          <w:szCs w:val="28"/>
        </w:rPr>
      </w:pPr>
      <w:r>
        <w:rPr>
          <w:rStyle w:val="Ninguno"/>
          <w:sz w:val="28"/>
          <w:szCs w:val="28"/>
        </w:rPr>
        <w:t xml:space="preserve">                                                                       F. GUSEV</w:t>
      </w:r>
      <w:r>
        <w:rPr>
          <w:rStyle w:val="Ninguno"/>
          <w:sz w:val="28"/>
          <w:szCs w:val="28"/>
          <w:vertAlign w:val="superscript"/>
        </w:rPr>
        <w:footnoteReference w:id="1"/>
      </w:r>
    </w:p>
    <w:p w:rsidR="007D06DC" w:rsidP="007D06DC" w:rsidRDefault="007D06DC">
      <w:pPr>
        <w:pStyle w:val="CuerpoB"/>
        <w:widowControl w:val="0"/>
        <w:spacing w:line="360" w:lineRule="auto"/>
        <w:ind w:firstLine="340"/>
        <w:jc w:val="both"/>
        <w:rPr>
          <w:rStyle w:val="Ninguno"/>
          <w:sz w:val="28"/>
          <w:szCs w:val="28"/>
        </w:rPr>
      </w:pPr>
      <w:r>
        <w:rPr>
          <w:rStyle w:val="Ninguno"/>
          <w:sz w:val="28"/>
          <w:szCs w:val="28"/>
        </w:rPr>
        <w:t>October 17, 1947</w:t>
      </w:r>
    </w:p>
    <w:p w:rsidR="007D06DC" w:rsidP="007D06DC" w:rsidRDefault="007D06DC">
      <w:pPr>
        <w:pStyle w:val="CuerpoB"/>
        <w:widowControl w:val="0"/>
        <w:spacing w:line="360" w:lineRule="auto"/>
        <w:ind w:firstLine="340"/>
        <w:jc w:val="both"/>
        <w:rPr>
          <w:rStyle w:val="Ninguno"/>
          <w:sz w:val="28"/>
          <w:szCs w:val="28"/>
        </w:rPr>
      </w:pPr>
      <w:r>
        <w:rPr>
          <w:rStyle w:val="Ninguno"/>
          <w:sz w:val="28"/>
          <w:szCs w:val="28"/>
        </w:rPr>
        <w:t>Yalta.</w:t>
      </w:r>
    </w:p>
    <w:p w:rsidR="007D06DC" w:rsidP="007D06DC" w:rsidRDefault="007D06DC">
      <w:pPr>
        <w:pStyle w:val="CuerpoB"/>
        <w:widowControl w:val="0"/>
        <w:spacing w:line="360" w:lineRule="auto"/>
        <w:ind w:firstLine="340"/>
        <w:jc w:val="both"/>
        <w:rPr>
          <w:rStyle w:val="Ninguno"/>
          <w:sz w:val="28"/>
          <w:szCs w:val="28"/>
        </w:rPr>
      </w:pPr>
      <w:r>
        <w:rPr>
          <w:rStyle w:val="Ninguno"/>
          <w:sz w:val="28"/>
          <w:szCs w:val="28"/>
        </w:rPr>
        <w:t>Army health resort No1.</w:t>
      </w:r>
    </w:p>
    <w:p w:rsidR="007D06DC" w:rsidP="007D06DC" w:rsidRDefault="007D06DC">
      <w:pPr>
        <w:pStyle w:val="CuerpoB"/>
        <w:widowControl w:val="0"/>
        <w:spacing w:line="360" w:lineRule="auto"/>
        <w:ind w:firstLine="340"/>
        <w:jc w:val="both"/>
        <w:rPr>
          <w:rStyle w:val="Ninguno"/>
          <w:sz w:val="28"/>
          <w:szCs w:val="28"/>
        </w:rPr>
      </w:pPr>
      <w:r>
        <w:rPr>
          <w:rStyle w:val="Ninguno"/>
          <w:sz w:val="28"/>
          <w:szCs w:val="28"/>
        </w:rPr>
        <w:t>6857М.</w:t>
      </w:r>
    </w:p>
    <w:p w:rsidR="007D06DC" w:rsidP="007D06DC" w:rsidRDefault="007D06DC">
      <w:pPr>
        <w:pStyle w:val="CuerpoB"/>
        <w:widowControl w:val="0"/>
        <w:spacing w:line="360" w:lineRule="auto"/>
        <w:ind w:firstLine="340"/>
        <w:jc w:val="both"/>
        <w:rPr>
          <w:sz w:val="28"/>
          <w:szCs w:val="28"/>
        </w:rPr>
      </w:pPr>
    </w:p>
    <w:p w:rsidR="007D06DC" w:rsidP="007D06DC" w:rsidRDefault="007D06DC">
      <w:pPr>
        <w:pStyle w:val="CuerpoA"/>
        <w:spacing w:line="360" w:lineRule="auto"/>
        <w:ind w:firstLine="34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Copies are sent to Comrades Malik and Smirnov</w:t>
      </w:r>
      <w:r>
        <w:rPr>
          <w:rStyle w:val="Ninguno"/>
          <w:rFonts w:ascii="Times New Roman" w:hAnsi="Times New Roman" w:eastAsia="Times New Roman" w:cs="Times New Roman"/>
          <w:sz w:val="28"/>
          <w:szCs w:val="28"/>
          <w:vertAlign w:val="superscript"/>
          <w:lang w:val="ru-RU"/>
        </w:rPr>
        <w:footnoteReference w:id="2"/>
      </w:r>
      <w:r>
        <w:rPr>
          <w:rStyle w:val="Ninguno"/>
          <w:rFonts w:ascii="Times New Roman" w:hAnsi="Times New Roman"/>
          <w:sz w:val="28"/>
          <w:szCs w:val="28"/>
        </w:rPr>
        <w:t>.</w:t>
      </w:r>
    </w:p>
    <w:p w:rsidR="007D06DC" w:rsidP="007D06DC" w:rsidRDefault="007D06DC">
      <w:pPr>
        <w:pStyle w:val="CuerpoA"/>
        <w:spacing w:line="360" w:lineRule="auto"/>
        <w:ind w:firstLine="340"/>
        <w:jc w:val="both"/>
        <w:rPr>
          <w:rFonts w:ascii="Times New Roman" w:hAnsi="Times New Roman" w:eastAsia="Times New Roman" w:cs="Times New Roman"/>
          <w:sz w:val="28"/>
          <w:szCs w:val="28"/>
        </w:rPr>
      </w:pPr>
    </w:p>
    <w:p w:rsidR="007D06DC" w:rsidP="007D06DC" w:rsidRDefault="007D06DC">
      <w:pPr>
        <w:pStyle w:val="CuerpoB"/>
        <w:widowControl w:val="0"/>
        <w:spacing w:line="360" w:lineRule="auto"/>
        <w:jc w:val="both"/>
        <w:rPr>
          <w:rStyle w:val="Ninguno"/>
          <w:sz w:val="28"/>
          <w:szCs w:val="28"/>
        </w:rPr>
      </w:pPr>
      <w:r>
        <w:rPr>
          <w:rStyle w:val="Ninguno"/>
          <w:sz w:val="28"/>
          <w:szCs w:val="28"/>
        </w:rPr>
        <w:t>TO THE SESSION OF Council of Foreign Ministers in London in NOVEMBER, 1947</w:t>
      </w:r>
      <w:r>
        <w:rPr>
          <w:rStyle w:val="Ninguno"/>
          <w:sz w:val="28"/>
          <w:szCs w:val="28"/>
          <w:vertAlign w:val="superscript"/>
          <w:lang w:val="ru-RU"/>
        </w:rPr>
        <w:footnoteReference w:id="3"/>
      </w:r>
    </w:p>
    <w:p w:rsidR="007D06DC" w:rsidP="007D06DC" w:rsidRDefault="007D06DC">
      <w:pPr>
        <w:pStyle w:val="CuerpoB"/>
        <w:widowControl w:val="0"/>
        <w:spacing w:line="360" w:lineRule="auto"/>
        <w:jc w:val="both"/>
        <w:rPr>
          <w:rStyle w:val="Ninguno"/>
          <w:sz w:val="28"/>
          <w:szCs w:val="28"/>
        </w:rPr>
      </w:pPr>
    </w:p>
    <w:p w:rsidR="007D06DC" w:rsidP="007D06DC" w:rsidRDefault="007D06DC">
      <w:pPr>
        <w:pStyle w:val="CuerpoB"/>
        <w:widowControl w:val="0"/>
        <w:spacing w:line="360" w:lineRule="auto"/>
        <w:ind w:firstLine="340"/>
        <w:jc w:val="both"/>
        <w:rPr>
          <w:rStyle w:val="Ninguno"/>
          <w:sz w:val="28"/>
          <w:szCs w:val="28"/>
        </w:rPr>
      </w:pPr>
      <w:r>
        <w:rPr>
          <w:rStyle w:val="Ninguno"/>
          <w:sz w:val="28"/>
          <w:szCs w:val="28"/>
        </w:rPr>
        <w:t>(Remarks and suggestions)</w:t>
      </w:r>
    </w:p>
    <w:p w:rsidR="007D06DC" w:rsidP="007D06DC" w:rsidRDefault="007D06DC">
      <w:pPr>
        <w:pStyle w:val="CuerpoB"/>
        <w:widowControl w:val="0"/>
        <w:spacing w:line="360" w:lineRule="auto"/>
        <w:ind w:left="360" w:firstLine="340"/>
        <w:jc w:val="both"/>
        <w:rPr>
          <w:rStyle w:val="Ninguno"/>
          <w:sz w:val="28"/>
          <w:szCs w:val="28"/>
        </w:rPr>
      </w:pPr>
      <w:r>
        <w:rPr>
          <w:rStyle w:val="Ninguno"/>
          <w:sz w:val="28"/>
          <w:szCs w:val="28"/>
        </w:rPr>
        <w:t>The forthcoming session of Council of Foreign Ministers in London at the end of November of this year is assembled under conditions of increasing disagreements on the issue of Germany and exacerbation of relations between the British-American bloc on one hand and the Soviet Union on the other hand. This situation has the following features:</w:t>
      </w:r>
    </w:p>
    <w:p w:rsidR="007D06DC" w:rsidP="007D06DC" w:rsidRDefault="007D06DC">
      <w:pPr>
        <w:pStyle w:val="CuerpoB"/>
        <w:widowControl w:val="0"/>
        <w:tabs>
          <w:tab w:val="left" w:pos="1030"/>
        </w:tabs>
        <w:spacing w:line="360" w:lineRule="auto"/>
        <w:ind w:left="1030" w:hanging="481"/>
        <w:jc w:val="both"/>
        <w:rPr>
          <w:rStyle w:val="Ninguno"/>
          <w:sz w:val="28"/>
          <w:szCs w:val="28"/>
        </w:rPr>
      </w:pPr>
      <w:r>
        <w:rPr>
          <w:rStyle w:val="Ninguno"/>
          <w:sz w:val="28"/>
          <w:szCs w:val="28"/>
        </w:rPr>
        <w:t>1)</w:t>
      </w:r>
      <w:r>
        <w:rPr>
          <w:rStyle w:val="Ninguno"/>
          <w:sz w:val="28"/>
          <w:szCs w:val="28"/>
        </w:rPr>
        <w:tab/>
        <w:t>The Council of Foreign Ministers at the last session in March - April of this year in Moscow could not come to agreement on any important issue of the agenda. It happened because of the position of the British-American bloc which, violating the earlier agreements on Germany, took the way of division of Germany by consolidating its British and American zones under the rule of the British-American bloc.</w:t>
      </w:r>
    </w:p>
    <w:p w:rsidR="007D06DC" w:rsidP="007D06DC" w:rsidRDefault="007D06DC">
      <w:pPr>
        <w:pStyle w:val="CuerpoA"/>
        <w:spacing w:line="360" w:lineRule="auto"/>
        <w:ind w:firstLine="34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At present France has not yet united its zone with the British-American zone, but in this respect France is under a lot of pressure and influence on behalf of British-Americans</w:t>
      </w:r>
      <w:r>
        <w:rPr>
          <w:rStyle w:val="Ninguno"/>
          <w:rFonts w:ascii="Times New Roman" w:hAnsi="Times New Roman" w:eastAsia="Times New Roman" w:cs="Times New Roman"/>
          <w:sz w:val="28"/>
          <w:szCs w:val="28"/>
          <w:vertAlign w:val="superscript"/>
          <w:lang w:val="ru-RU"/>
        </w:rPr>
        <w:footnoteReference w:id="4"/>
      </w:r>
      <w:r>
        <w:rPr>
          <w:rStyle w:val="Ninguno"/>
          <w:rFonts w:ascii="Times New Roman" w:hAnsi="Times New Roman"/>
          <w:sz w:val="28"/>
          <w:szCs w:val="28"/>
        </w:rPr>
        <w:t>.</w:t>
      </w:r>
    </w:p>
    <w:p w:rsidR="007D06DC" w:rsidP="007D06DC" w:rsidRDefault="007D06DC">
      <w:pPr>
        <w:pStyle w:val="CuerpoA"/>
        <w:numPr>
          <w:ilvl w:val="0"/>
          <w:numId w:val="2"/>
        </w:numPr>
        <w:spacing w:line="360" w:lineRule="auto"/>
        <w:jc w:val="both"/>
        <w:rPr>
          <w:rStyle w:val="Ninguno"/>
          <w:rFonts w:ascii="Times New Roman" w:hAnsi="Times New Roman" w:eastAsia="Times New Roman" w:cs="Times New Roman"/>
          <w:sz w:val="28"/>
          <w:szCs w:val="28"/>
        </w:rPr>
      </w:pPr>
      <w:r>
        <w:rPr>
          <w:rStyle w:val="PageNumber"/>
          <w:rFonts w:ascii="Times New Roman" w:hAnsi="Times New Roman"/>
          <w:sz w:val="28"/>
          <w:szCs w:val="28"/>
        </w:rPr>
        <w:t>After the Council of Foreign Ministers session in Moscow the policy of the British-American bloc for the division of Germany developed further. During this time minor issues continued to isolate British-American zones. United economic bodies were established in the United British-American zone</w:t>
      </w:r>
      <w:r>
        <w:rPr>
          <w:rStyle w:val="Ninguno"/>
          <w:rFonts w:ascii="Times New Roman" w:hAnsi="Times New Roman" w:eastAsia="Times New Roman" w:cs="Times New Roman"/>
          <w:sz w:val="28"/>
          <w:szCs w:val="28"/>
          <w:vertAlign w:val="superscript"/>
          <w:lang w:val="ru-RU"/>
        </w:rPr>
        <w:footnoteReference w:id="5"/>
      </w:r>
      <w:r>
        <w:rPr>
          <w:rStyle w:val="PageNumber"/>
          <w:rFonts w:ascii="Times New Roman" w:hAnsi="Times New Roman"/>
          <w:sz w:val="28"/>
          <w:szCs w:val="28"/>
        </w:rPr>
        <w:t>, their structures enabling them to quickly transform into Western German federal political bodies.</w:t>
      </w:r>
    </w:p>
    <w:p w:rsidR="007D06DC" w:rsidP="007D06DC" w:rsidRDefault="007D06DC">
      <w:pPr>
        <w:pStyle w:val="CuerpoA"/>
        <w:numPr>
          <w:ilvl w:val="0"/>
          <w:numId w:val="3"/>
        </w:numPr>
        <w:spacing w:line="360" w:lineRule="auto"/>
        <w:jc w:val="both"/>
        <w:rPr>
          <w:rStyle w:val="Ninguno"/>
          <w:rFonts w:ascii="Times New Roman" w:hAnsi="Times New Roman" w:eastAsia="Times New Roman" w:cs="Times New Roman"/>
          <w:sz w:val="28"/>
          <w:szCs w:val="28"/>
        </w:rPr>
      </w:pPr>
      <w:r>
        <w:rPr>
          <w:rStyle w:val="PageNumber"/>
          <w:rFonts w:ascii="Times New Roman" w:hAnsi="Times New Roman"/>
          <w:sz w:val="28"/>
          <w:szCs w:val="28"/>
        </w:rPr>
        <w:t xml:space="preserve">Coordinated action on decisions made at the Moscow Council of Foreign Ministers session on minor issues of the Control Council report are not </w:t>
      </w:r>
      <w:r>
        <w:rPr>
          <w:rStyle w:val="PageNumber"/>
          <w:rFonts w:ascii="Times New Roman" w:hAnsi="Times New Roman"/>
          <w:sz w:val="28"/>
          <w:szCs w:val="28"/>
        </w:rPr>
        <w:lastRenderedPageBreak/>
        <w:t xml:space="preserve">being carried out in the Western zones. In the last six months the Control Council could not solve any important issue regarding Germany as a whole. Practical work of joint bodies in Germany revealed that the British-American bloc strive towards eliminating any of Soviet Union’s influence on decisions on issues concerning the Western zones, and preserving and expanding British-American influence in the Soviet zone and in Berlin. In this respect, the agreement on the allocation of the Greater Berlin zone for joint government appeared </w:t>
      </w:r>
      <w:proofErr w:type="spellStart"/>
      <w:r>
        <w:rPr>
          <w:rStyle w:val="PageNumber"/>
          <w:rFonts w:ascii="Times New Roman" w:hAnsi="Times New Roman"/>
          <w:sz w:val="28"/>
          <w:szCs w:val="28"/>
        </w:rPr>
        <w:t>favourable</w:t>
      </w:r>
      <w:proofErr w:type="spellEnd"/>
      <w:r>
        <w:rPr>
          <w:rStyle w:val="PageNumber"/>
          <w:rFonts w:ascii="Times New Roman" w:hAnsi="Times New Roman"/>
          <w:sz w:val="28"/>
          <w:szCs w:val="28"/>
        </w:rPr>
        <w:t xml:space="preserve"> for the British and the Americans</w:t>
      </w:r>
      <w:r>
        <w:rPr>
          <w:rStyle w:val="Ninguno"/>
          <w:rFonts w:ascii="Times New Roman" w:hAnsi="Times New Roman" w:eastAsia="Times New Roman" w:cs="Times New Roman"/>
          <w:sz w:val="28"/>
          <w:szCs w:val="28"/>
          <w:vertAlign w:val="superscript"/>
          <w:lang w:val="ru-RU"/>
        </w:rPr>
        <w:footnoteReference w:id="6"/>
      </w:r>
      <w:r>
        <w:rPr>
          <w:rStyle w:val="PageNumber"/>
          <w:rFonts w:ascii="Times New Roman" w:hAnsi="Times New Roman"/>
          <w:sz w:val="28"/>
          <w:szCs w:val="28"/>
        </w:rPr>
        <w:t xml:space="preserve">. </w:t>
      </w:r>
    </w:p>
    <w:p w:rsidR="007D06DC" w:rsidP="007D06DC" w:rsidRDefault="007D06DC">
      <w:pPr>
        <w:pStyle w:val="CuerpoA"/>
        <w:numPr>
          <w:ilvl w:val="0"/>
          <w:numId w:val="4"/>
        </w:numPr>
        <w:spacing w:line="360" w:lineRule="auto"/>
        <w:jc w:val="both"/>
        <w:rPr>
          <w:rStyle w:val="PageNumber"/>
          <w:rFonts w:ascii="Times New Roman" w:hAnsi="Times New Roman" w:eastAsia="Times New Roman" w:cs="Times New Roman"/>
          <w:sz w:val="28"/>
          <w:szCs w:val="28"/>
        </w:rPr>
      </w:pPr>
      <w:r>
        <w:rPr>
          <w:rStyle w:val="PageNumber"/>
          <w:rFonts w:ascii="Times New Roman" w:hAnsi="Times New Roman"/>
          <w:sz w:val="28"/>
          <w:szCs w:val="28"/>
        </w:rPr>
        <w:t>At the meeting in Paris (June 1947) Bevin failed in his plan to involve the Soviet Union in discussions on the German question outside of the Council of Foreign Ministers. The meeting of 16 countries’ representatives in Paris regarding the so-called Marshall Plan took place without participation of the USSR</w:t>
      </w:r>
      <w:r>
        <w:rPr>
          <w:rStyle w:val="Ninguno"/>
          <w:rFonts w:ascii="Times New Roman" w:hAnsi="Times New Roman" w:eastAsia="Times New Roman" w:cs="Times New Roman"/>
          <w:sz w:val="28"/>
          <w:szCs w:val="28"/>
          <w:vertAlign w:val="superscript"/>
          <w:lang w:val="ru-RU"/>
        </w:rPr>
        <w:footnoteReference w:id="7"/>
      </w:r>
      <w:r>
        <w:rPr>
          <w:rStyle w:val="PageNumber"/>
          <w:rFonts w:ascii="Times New Roman" w:hAnsi="Times New Roman"/>
          <w:sz w:val="28"/>
          <w:szCs w:val="28"/>
        </w:rPr>
        <w:t>.</w:t>
      </w:r>
    </w:p>
    <w:p w:rsidR="007D06DC" w:rsidP="007D06DC" w:rsidRDefault="007D06DC">
      <w:pPr>
        <w:pStyle w:val="CuerpoA"/>
        <w:numPr>
          <w:ilvl w:val="0"/>
          <w:numId w:val="4"/>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The Anti-Soviet imperialistic policy of the US, both in Europe (Greece, Turkey and the Balkans) and in the Far East (Japan, Korea and China) caused aggravation of American-Soviet relations. Ruling reactionary circles in the US took the way of active propaganda and preparation of a new war against the Soviet Union and the countries of new democracy in Europe.</w:t>
      </w:r>
    </w:p>
    <w:p w:rsidR="007D06DC" w:rsidP="007D06DC" w:rsidRDefault="007D06DC">
      <w:pPr>
        <w:pStyle w:val="CuerpoA"/>
        <w:numPr>
          <w:ilvl w:val="0"/>
          <w:numId w:val="4"/>
        </w:numPr>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Lately the US are actively trying to use the United Nations Organization as a tool for their imperialistic foreign policy (the US’ position in the Atomic Energy Commission, in Security Council and at the last session of the General Assembly).</w:t>
      </w:r>
    </w:p>
    <w:p w:rsidR="007D06DC" w:rsidP="007D06DC" w:rsidRDefault="007D06DC">
      <w:pPr>
        <w:pStyle w:val="CuerpoA"/>
        <w:spacing w:line="360" w:lineRule="auto"/>
        <w:ind w:left="340" w:firstLine="34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lastRenderedPageBreak/>
        <w:t>The Soviet Union is the only country which is able to expose the USA’s aggressive plans for preparing a new war and to prevent the USA from using the United Nations Organization for its imperialistic policy.</w:t>
      </w:r>
    </w:p>
    <w:p w:rsidR="007D06DC" w:rsidP="007D06DC" w:rsidRDefault="007D06DC">
      <w:pPr>
        <w:pStyle w:val="CuerpoB"/>
        <w:spacing w:line="360" w:lineRule="auto"/>
        <w:ind w:left="340" w:firstLine="340"/>
        <w:jc w:val="both"/>
        <w:rPr>
          <w:rStyle w:val="Ninguno"/>
          <w:sz w:val="28"/>
          <w:szCs w:val="28"/>
        </w:rPr>
      </w:pPr>
      <w:r>
        <w:rPr>
          <w:rStyle w:val="Ninguno"/>
          <w:sz w:val="28"/>
          <w:szCs w:val="28"/>
        </w:rPr>
        <w:t>The Soviet Union’s democratic policy for establishing stable peace will encounter different forms of resistance from US reactionary ruling circles. The state of relations between allies-defeaters of Germany enables us to forecast that at the forthcoming Council of Foreign Ministers session in London we should not expect the British-American bloc to display a spirit of cooperation in implementing decisions of the Crimean and Berlin conferences</w:t>
      </w:r>
      <w:r>
        <w:rPr>
          <w:rStyle w:val="Ninguno"/>
          <w:sz w:val="28"/>
          <w:szCs w:val="28"/>
          <w:vertAlign w:val="superscript"/>
          <w:lang w:val="ru-RU"/>
        </w:rPr>
        <w:footnoteReference w:id="8"/>
      </w:r>
      <w:r>
        <w:rPr>
          <w:rStyle w:val="Ninguno"/>
          <w:sz w:val="28"/>
          <w:szCs w:val="28"/>
        </w:rPr>
        <w:t>. Most likely the opposite will happen: at this Council of Foreign Ministers session attempts will be made to declare the Potsdam decisions outdated and requiring replacement with new ones. In this case, you can expect a repeat of demagogic accusations against the Soviet Union, who allegedly did not carry out these decisions.   There is a possibility that at the Council of Foreign Ministers session the British-American bloc will submit for consideration a proposal that regards the initial stage of Germany’s occupation as complete (item 10 of Agreement on Control Machinery), which would require new negotiations on an agreement on the new governing system in Germany, and, hence, new instructions to supervisory bodies. We also cannot exclude the possibility of raising issues such as the timing of the occupation and the alteration of governing methods (instead of supervisory authorities, just the occupation).</w:t>
      </w:r>
    </w:p>
    <w:p w:rsidR="007D06DC" w:rsidP="007D06DC" w:rsidRDefault="007D06DC">
      <w:pPr>
        <w:pStyle w:val="CuerpoB"/>
        <w:widowControl w:val="0"/>
        <w:spacing w:line="360" w:lineRule="auto"/>
        <w:ind w:left="340" w:firstLine="340"/>
        <w:jc w:val="both"/>
        <w:rPr>
          <w:rStyle w:val="Ninguno"/>
          <w:sz w:val="28"/>
          <w:szCs w:val="28"/>
        </w:rPr>
      </w:pPr>
      <w:r>
        <w:rPr>
          <w:rStyle w:val="Ninguno"/>
          <w:sz w:val="28"/>
          <w:szCs w:val="28"/>
        </w:rPr>
        <w:t xml:space="preserve">In connection with the convening of the session of the Council of Ministers arise a number of issues. First of all, there is the question of the agenda. What issues and in what order will be put forward for discussion to the Council of Foreign Ministers? It is known that in the last Council session decisions on all the main issues of the agenda were left undecided. As these issues remain undecided, they should be discussed, but it would hardly be advisable to start </w:t>
      </w:r>
      <w:r>
        <w:rPr>
          <w:rStyle w:val="Ninguno"/>
          <w:sz w:val="28"/>
          <w:szCs w:val="28"/>
        </w:rPr>
        <w:lastRenderedPageBreak/>
        <w:t xml:space="preserve">a discussion in the order in which they were held during the last session. If we assume the same order as the discussions at the last session, then from the outset, you can predetermine the failure of the Council session. </w:t>
      </w:r>
    </w:p>
    <w:p w:rsidR="007D06DC" w:rsidP="007D06DC" w:rsidRDefault="007D06DC">
      <w:pPr>
        <w:pStyle w:val="CuerpoB"/>
        <w:widowControl w:val="0"/>
        <w:spacing w:line="360" w:lineRule="auto"/>
        <w:ind w:left="340" w:firstLine="340"/>
        <w:jc w:val="both"/>
        <w:rPr>
          <w:rStyle w:val="Ninguno"/>
          <w:sz w:val="28"/>
          <w:szCs w:val="28"/>
        </w:rPr>
      </w:pPr>
      <w:r>
        <w:rPr>
          <w:rStyle w:val="Ninguno"/>
          <w:sz w:val="28"/>
          <w:szCs w:val="28"/>
        </w:rPr>
        <w:t>The agenda of the Council session will be discussed beforehand, apparently, at the conference of deputies in London. The agenda will probably include the issues concerning Germany and Austria. The British-American bloc will probably insist on discussing primarily issues concerning agreements with Austria. If in the very beginning an agreement on Austria is achieved, which is not very likely, then it would make it easier to for resolving issues concerning Germany.</w:t>
      </w:r>
    </w:p>
    <w:p w:rsidR="007D06DC" w:rsidP="007D06DC" w:rsidRDefault="007D06DC">
      <w:pPr>
        <w:pStyle w:val="CuerpoB"/>
        <w:widowControl w:val="0"/>
        <w:spacing w:line="360" w:lineRule="auto"/>
        <w:ind w:left="340" w:firstLine="340"/>
        <w:jc w:val="both"/>
        <w:rPr>
          <w:rStyle w:val="Ninguno"/>
          <w:sz w:val="28"/>
          <w:szCs w:val="28"/>
        </w:rPr>
      </w:pPr>
      <w:r>
        <w:rPr>
          <w:rStyle w:val="Ninguno"/>
          <w:sz w:val="28"/>
          <w:szCs w:val="28"/>
        </w:rPr>
        <w:t>The regular session of the Council of Foreign Ministers will be of great importance for the Soviet Union. Nowadays, not only economic issues, such as reparations, but also political issues, are becoming more and more important for establishing a stable peace in Europe. What will Germany be like: democratic and united or reactionary and federal, a tool in the hands of imperialistic reaction of the US and Great Britain? Nowadays it becomes more and more clear that the British-American bloc is afraid of a democratic Germany and thus strives to transform it into the base of European reaction.</w:t>
      </w:r>
    </w:p>
    <w:p w:rsidR="007D06DC" w:rsidP="007D06DC" w:rsidRDefault="007D06DC">
      <w:pPr>
        <w:pStyle w:val="CuerpoB"/>
        <w:widowControl w:val="0"/>
        <w:spacing w:line="360" w:lineRule="auto"/>
        <w:ind w:left="340" w:firstLine="340"/>
        <w:jc w:val="both"/>
        <w:rPr>
          <w:rStyle w:val="Ninguno"/>
          <w:sz w:val="28"/>
          <w:szCs w:val="28"/>
        </w:rPr>
      </w:pPr>
      <w:r>
        <w:rPr>
          <w:rStyle w:val="Ninguno"/>
          <w:sz w:val="28"/>
          <w:szCs w:val="28"/>
        </w:rPr>
        <w:t xml:space="preserve">What are the questions that the Soviet Union should consider most important for the protection of its interests and expansion of the </w:t>
      </w:r>
      <w:proofErr w:type="spellStart"/>
      <w:r>
        <w:rPr>
          <w:rStyle w:val="Ninguno"/>
          <w:sz w:val="28"/>
          <w:szCs w:val="28"/>
        </w:rPr>
        <w:t>programme</w:t>
      </w:r>
      <w:proofErr w:type="spellEnd"/>
      <w:r>
        <w:rPr>
          <w:rStyle w:val="Ninguno"/>
          <w:sz w:val="28"/>
          <w:szCs w:val="28"/>
        </w:rPr>
        <w:t xml:space="preserve"> for the German people? These are the issues regarding the question of preparation for the peace treaty with Germany and the directives in connection with this preparation. Under present conditions, when the American warmongers conduct propaganda and war preparation, the issue of the peace treaty with Germany could serve as means of exposing the Anglo-American bloc’s policies and at the same time serve as a near future prospect for the German people. During preparation of directives for the peace treaty, the drafting of some important issues could be decided, such as reparations. At the same time, there would inevitably arise such issues as Germany’s political and </w:t>
      </w:r>
      <w:r>
        <w:rPr>
          <w:rStyle w:val="Ninguno"/>
          <w:sz w:val="28"/>
          <w:szCs w:val="28"/>
        </w:rPr>
        <w:lastRenderedPageBreak/>
        <w:t>economic unity, since the peace treaty may be concluded not with separate parts, but with uniform German state.</w:t>
      </w:r>
    </w:p>
    <w:p w:rsidR="007D06DC" w:rsidP="007D06DC" w:rsidRDefault="007D06DC">
      <w:pPr>
        <w:pStyle w:val="CuerpoB"/>
        <w:widowControl w:val="0"/>
        <w:spacing w:line="360" w:lineRule="auto"/>
        <w:ind w:left="340" w:firstLine="340"/>
        <w:jc w:val="both"/>
        <w:rPr>
          <w:rStyle w:val="Ninguno"/>
          <w:sz w:val="28"/>
          <w:szCs w:val="28"/>
        </w:rPr>
      </w:pPr>
      <w:r>
        <w:rPr>
          <w:rStyle w:val="Ninguno"/>
          <w:sz w:val="28"/>
          <w:szCs w:val="28"/>
        </w:rPr>
        <w:t>During the last six months in the USA, there were repeated suggestions of concluding a separate peace treaty with Germany. Such statements were apparently taken from the American propaganda arsenal to influence the USSR’s position on the issue of Germany.</w:t>
      </w:r>
    </w:p>
    <w:p w:rsidR="007D06DC" w:rsidP="007D06DC" w:rsidRDefault="007D06DC">
      <w:pPr>
        <w:pStyle w:val="CuerpoB"/>
        <w:widowControl w:val="0"/>
        <w:spacing w:line="360" w:lineRule="auto"/>
        <w:ind w:left="340" w:firstLine="340"/>
        <w:jc w:val="both"/>
        <w:rPr>
          <w:rStyle w:val="Ninguno"/>
          <w:sz w:val="28"/>
          <w:szCs w:val="28"/>
        </w:rPr>
      </w:pPr>
      <w:r>
        <w:rPr>
          <w:rStyle w:val="Ninguno"/>
          <w:sz w:val="28"/>
          <w:szCs w:val="28"/>
        </w:rPr>
        <w:t>The Soviet Union suggestion on drafting the peace treaty with Germany would have important international political value for peace support. Yet at the last Council session the Soviet delegation made a number of concessions regarding the procedure of the peace treaty drafting with Germany. If the USA once again impedes the resolution of this issue, they will be responsible for the delay of peace being established in Europe. The Soviet Union has no reasons to refuse discussing other issues which still remain unresolved, but if the discussions go the same way as at the last session, it may come to a deadlock and give no practical results. The British-American bloc, which wants to divide Germany, needs formal reasons for justification of their policy, thus any failure and difficulties in resolving the issues will be used by the British-Americans to prove that now it is impossible to solve the issue of Germany’s political and economic unity on a quadrilateral basis.</w:t>
      </w:r>
    </w:p>
    <w:p w:rsidR="007D06DC" w:rsidP="007D06DC" w:rsidRDefault="007D06DC">
      <w:pPr>
        <w:pStyle w:val="CuerpoB"/>
        <w:widowControl w:val="0"/>
        <w:spacing w:line="360" w:lineRule="auto"/>
        <w:ind w:left="340" w:firstLine="340"/>
        <w:jc w:val="both"/>
        <w:rPr>
          <w:rStyle w:val="Ninguno"/>
          <w:sz w:val="28"/>
          <w:szCs w:val="28"/>
        </w:rPr>
      </w:pPr>
      <w:r>
        <w:rPr>
          <w:rStyle w:val="Ninguno"/>
          <w:sz w:val="28"/>
          <w:szCs w:val="28"/>
        </w:rPr>
        <w:t xml:space="preserve">Under these conditions the Soviet Union has a big task. Remaining on the basis of the Crimean and Berlin conferences decisions, protecting these decisions, we should expose the </w:t>
      </w:r>
      <w:proofErr w:type="spellStart"/>
      <w:r>
        <w:rPr>
          <w:rStyle w:val="Ninguno"/>
          <w:sz w:val="28"/>
          <w:szCs w:val="28"/>
        </w:rPr>
        <w:t>manoeuvres</w:t>
      </w:r>
      <w:proofErr w:type="spellEnd"/>
      <w:r>
        <w:rPr>
          <w:rStyle w:val="Ninguno"/>
          <w:sz w:val="28"/>
          <w:szCs w:val="28"/>
        </w:rPr>
        <w:t xml:space="preserve"> of British-Americans, compel them to fulfil the decided-on obligations and reveal their true intentions on the issue of Germany.</w:t>
      </w:r>
    </w:p>
    <w:p w:rsidR="007D06DC" w:rsidP="007D06DC" w:rsidRDefault="007D06DC">
      <w:pPr>
        <w:pStyle w:val="CuerpoB"/>
        <w:widowControl w:val="0"/>
        <w:spacing w:line="360" w:lineRule="auto"/>
        <w:ind w:left="340" w:firstLine="340"/>
        <w:jc w:val="both"/>
        <w:rPr>
          <w:rStyle w:val="Ninguno"/>
          <w:sz w:val="28"/>
          <w:szCs w:val="28"/>
        </w:rPr>
      </w:pPr>
      <w:r>
        <w:rPr>
          <w:rStyle w:val="Ninguno"/>
          <w:sz w:val="28"/>
          <w:szCs w:val="28"/>
        </w:rPr>
        <w:t xml:space="preserve">The Soviet Union has relatively few effective tools for influencing the Anglo-Americans to carry out the obligations accepted by them in accordance with the agreements. However, it would be erroneous to underestimate the Anglo-American bloc’s great interest in the outcome of German question and, in particular, its interest in what is in the Soviet zone of occupation. </w:t>
      </w:r>
    </w:p>
    <w:p w:rsidR="007D06DC" w:rsidP="007D06DC" w:rsidRDefault="007D06DC">
      <w:pPr>
        <w:pStyle w:val="CuerpoB"/>
        <w:widowControl w:val="0"/>
        <w:spacing w:line="360" w:lineRule="auto"/>
        <w:ind w:left="340" w:firstLine="340"/>
        <w:jc w:val="both"/>
        <w:rPr>
          <w:rStyle w:val="Ninguno"/>
          <w:sz w:val="28"/>
          <w:szCs w:val="28"/>
        </w:rPr>
      </w:pPr>
      <w:r>
        <w:rPr>
          <w:rStyle w:val="Ninguno"/>
          <w:sz w:val="28"/>
          <w:szCs w:val="28"/>
        </w:rPr>
        <w:lastRenderedPageBreak/>
        <w:t xml:space="preserve">According to the occupied zones agreement, a Greater Berlin zone was to be formed where all-German organs would have been, but if Germany remains broken up without all-German organs, there is no need to have a special zone with British, US and French participation. </w:t>
      </w:r>
    </w:p>
    <w:p w:rsidR="007D06DC" w:rsidP="007D06DC" w:rsidRDefault="007D06DC">
      <w:pPr>
        <w:pStyle w:val="CuerpoB"/>
        <w:spacing w:line="360" w:lineRule="auto"/>
        <w:ind w:left="340" w:firstLine="340"/>
        <w:jc w:val="both"/>
        <w:rPr>
          <w:rStyle w:val="Ninguno"/>
          <w:sz w:val="28"/>
          <w:szCs w:val="28"/>
        </w:rPr>
      </w:pPr>
      <w:r>
        <w:rPr>
          <w:rStyle w:val="Ninguno"/>
          <w:sz w:val="28"/>
          <w:szCs w:val="28"/>
        </w:rPr>
        <w:t>The Anglo-American forces’ presence in the Greater Berlin zone</w:t>
      </w:r>
      <w:r>
        <w:rPr>
          <w:rStyle w:val="Ninguno"/>
          <w:sz w:val="28"/>
          <w:szCs w:val="28"/>
          <w:vertAlign w:val="superscript"/>
          <w:lang w:val="ru-RU"/>
        </w:rPr>
        <w:footnoteReference w:id="9"/>
      </w:r>
      <w:r>
        <w:rPr>
          <w:rStyle w:val="Ninguno"/>
          <w:sz w:val="28"/>
          <w:szCs w:val="28"/>
        </w:rPr>
        <w:t xml:space="preserve"> gives them not only access to information on the situation in the Soviet zone, but also an opportunity to influence the population in the Soviet-occupied zone via their sectors in the city of Berlin. The Soviet administration in Germany does not have such an opportunity in the Western zones. Britain and the US greatly value their presence in Berlin. It is obvious, since after Germany’s capitulation Britain and the US moved their armies from a part of German territory, for example, Thuringia</w:t>
      </w:r>
      <w:r>
        <w:rPr>
          <w:rStyle w:val="Ninguno"/>
          <w:sz w:val="28"/>
          <w:szCs w:val="28"/>
          <w:vertAlign w:val="superscript"/>
          <w:lang w:val="ru-RU"/>
        </w:rPr>
        <w:footnoteReference w:id="10"/>
      </w:r>
      <w:r>
        <w:rPr>
          <w:rStyle w:val="Ninguno"/>
          <w:sz w:val="28"/>
          <w:szCs w:val="28"/>
        </w:rPr>
        <w:t>, to be occupied by the Soviet armies, in order to bring them to Berlin and occupy the sectors of Big Berlin allocated to them in accordance with the occupation zones agreement.</w:t>
      </w:r>
    </w:p>
    <w:p w:rsidR="007D06DC" w:rsidP="007D06DC" w:rsidRDefault="007D06DC">
      <w:pPr>
        <w:pStyle w:val="CuerpoB"/>
        <w:widowControl w:val="0"/>
        <w:spacing w:line="360" w:lineRule="auto"/>
        <w:ind w:left="340" w:firstLine="340"/>
        <w:jc w:val="both"/>
        <w:rPr>
          <w:rStyle w:val="Ninguno"/>
          <w:sz w:val="28"/>
          <w:szCs w:val="28"/>
        </w:rPr>
      </w:pPr>
      <w:r>
        <w:rPr>
          <w:rStyle w:val="Ninguno"/>
          <w:sz w:val="28"/>
          <w:szCs w:val="28"/>
        </w:rPr>
        <w:t>If at the forthcoming Council of Foreign Ministers session Britain and the USA will not satisfy the legal requirements of the Soviet Union, in particular, on reparations, on the joint control over Ruhr, etc., perhaps the Soviet Union will have to raise the issue of abolishing the Greater Berlin zone and declare all of all this territory as part of the Soviet zone. Certainly, it is an extreme measure and should be used only when there would be no hope for an agreement.</w:t>
      </w:r>
    </w:p>
    <w:p w:rsidR="007D06DC" w:rsidP="007D06DC" w:rsidRDefault="007D06DC">
      <w:pPr>
        <w:pStyle w:val="CuerpoB"/>
        <w:widowControl w:val="0"/>
        <w:spacing w:line="360" w:lineRule="auto"/>
        <w:ind w:left="340" w:firstLine="340"/>
        <w:jc w:val="both"/>
        <w:rPr>
          <w:sz w:val="28"/>
          <w:szCs w:val="28"/>
        </w:rPr>
      </w:pPr>
    </w:p>
    <w:p w:rsidR="007D06DC" w:rsidP="007D06DC" w:rsidRDefault="007D06DC">
      <w:pPr>
        <w:pStyle w:val="CuerpoB"/>
        <w:widowControl w:val="0"/>
        <w:spacing w:line="360" w:lineRule="auto"/>
        <w:ind w:left="340" w:firstLine="340"/>
        <w:jc w:val="both"/>
        <w:rPr>
          <w:rStyle w:val="Ninguno"/>
          <w:sz w:val="28"/>
          <w:szCs w:val="28"/>
        </w:rPr>
      </w:pPr>
      <w:r>
        <w:rPr>
          <w:rStyle w:val="Ninguno"/>
          <w:sz w:val="28"/>
          <w:szCs w:val="28"/>
        </w:rPr>
        <w:t xml:space="preserve">The forthcoming Council of Foreign Ministers session in London should be used by the Soviet Union for raising the issue on the report of Allied Council for Japan and on drafting of the peace treaty with Japan. Perhaps already now, approximately a month before the beginning of Council of </w:t>
      </w:r>
      <w:r>
        <w:rPr>
          <w:rStyle w:val="Ninguno"/>
          <w:sz w:val="28"/>
          <w:szCs w:val="28"/>
        </w:rPr>
        <w:lastRenderedPageBreak/>
        <w:t xml:space="preserve">Foreign Ministers session, we ought to introduce in a diplomatic manner a proposal to the US, British and Chinese governments to include the Allied Council’s report on Japan at the Council of Foreign Ministers session in London when the review of the German question will be completed. In fact, it would be a new Council of Foreign Ministers session with a new composition. If the suggestions on the Allied Council report on Japan and on drafting the peace treaty with Japan are put forward by the Soviet Union, it would give us some tactical advantage during the discussion of the German issue as well. </w:t>
      </w:r>
    </w:p>
    <w:p w:rsidR="007D06DC" w:rsidP="007D06DC" w:rsidRDefault="007D06DC">
      <w:pPr>
        <w:pStyle w:val="CuerpoB"/>
        <w:widowControl w:val="0"/>
        <w:spacing w:line="360" w:lineRule="auto"/>
        <w:ind w:left="340" w:firstLine="340"/>
        <w:jc w:val="both"/>
        <w:rPr>
          <w:rStyle w:val="Ninguno"/>
          <w:sz w:val="28"/>
          <w:szCs w:val="28"/>
        </w:rPr>
      </w:pPr>
      <w:r>
        <w:rPr>
          <w:rStyle w:val="Ninguno"/>
          <w:sz w:val="28"/>
          <w:szCs w:val="28"/>
        </w:rPr>
        <w:t xml:space="preserve">The US will probably not wish to hear the Allied Council report, as such a report would expose its policy in Japan, but even in this case the position of the US would be exposed to the global public opinion. In this case, the position of the Soviet Union would probably be supported by China.    </w:t>
      </w:r>
    </w:p>
    <w:p w:rsidR="007D06DC" w:rsidP="007D06DC" w:rsidRDefault="007D06DC">
      <w:pPr>
        <w:pStyle w:val="CuerpoB"/>
        <w:widowControl w:val="0"/>
        <w:spacing w:line="360" w:lineRule="auto"/>
        <w:ind w:left="340" w:firstLine="340"/>
        <w:jc w:val="both"/>
        <w:rPr>
          <w:rStyle w:val="Ninguno"/>
          <w:sz w:val="28"/>
          <w:szCs w:val="28"/>
        </w:rPr>
      </w:pPr>
      <w:r>
        <w:rPr>
          <w:rStyle w:val="Ninguno"/>
          <w:sz w:val="28"/>
          <w:szCs w:val="28"/>
        </w:rPr>
        <w:t xml:space="preserve">In connection with the session of the Council of Ministers in London there are a number of practical issues that can be prepared with the availability of documents from the Council of the last session and the prompt correspondence in Berlin during the intervals between Council of Ministers sessions. </w:t>
      </w:r>
    </w:p>
    <w:p w:rsidR="007D06DC" w:rsidP="007D06DC" w:rsidRDefault="007D06DC">
      <w:pPr>
        <w:pStyle w:val="CuerpoB"/>
        <w:widowControl w:val="0"/>
        <w:spacing w:line="360" w:lineRule="auto"/>
        <w:ind w:left="340" w:firstLine="340"/>
        <w:jc w:val="both"/>
        <w:rPr>
          <w:sz w:val="28"/>
          <w:szCs w:val="28"/>
        </w:rPr>
      </w:pPr>
    </w:p>
    <w:p w:rsidR="007D06DC" w:rsidP="007D06DC" w:rsidRDefault="007D06DC">
      <w:pPr>
        <w:pStyle w:val="CuerpoB"/>
        <w:widowControl w:val="0"/>
        <w:spacing w:line="360" w:lineRule="auto"/>
        <w:ind w:left="340" w:firstLine="340"/>
        <w:jc w:val="both"/>
        <w:rPr>
          <w:rStyle w:val="Ninguno"/>
          <w:sz w:val="28"/>
          <w:szCs w:val="28"/>
        </w:rPr>
      </w:pPr>
      <w:r>
        <w:rPr>
          <w:rStyle w:val="Ninguno"/>
          <w:sz w:val="28"/>
          <w:szCs w:val="28"/>
        </w:rPr>
        <w:t xml:space="preserve">                                                                     F. GUSEV.</w:t>
      </w:r>
    </w:p>
    <w:p w:rsidR="007D06DC" w:rsidP="007D06DC" w:rsidRDefault="007D06DC">
      <w:pPr>
        <w:pStyle w:val="CuerpoB"/>
        <w:widowControl w:val="0"/>
        <w:spacing w:line="360" w:lineRule="auto"/>
        <w:ind w:left="340" w:firstLine="340"/>
        <w:jc w:val="both"/>
        <w:rPr>
          <w:rStyle w:val="Ninguno"/>
          <w:sz w:val="28"/>
          <w:szCs w:val="28"/>
        </w:rPr>
      </w:pPr>
      <w:r>
        <w:rPr>
          <w:rStyle w:val="Ninguno"/>
          <w:sz w:val="28"/>
          <w:szCs w:val="28"/>
        </w:rPr>
        <w:t xml:space="preserve"> </w:t>
      </w:r>
    </w:p>
    <w:p w:rsidR="007D06DC" w:rsidP="007D06DC" w:rsidRDefault="007D06DC">
      <w:pPr>
        <w:pStyle w:val="CuerpoB"/>
        <w:widowControl w:val="0"/>
        <w:spacing w:line="360" w:lineRule="auto"/>
        <w:ind w:left="340" w:firstLine="340"/>
        <w:jc w:val="both"/>
        <w:rPr>
          <w:rStyle w:val="Ninguno"/>
          <w:sz w:val="28"/>
          <w:szCs w:val="28"/>
        </w:rPr>
      </w:pPr>
      <w:r>
        <w:rPr>
          <w:rStyle w:val="Ninguno"/>
          <w:sz w:val="28"/>
          <w:szCs w:val="28"/>
        </w:rPr>
        <w:t>Town of Yalta</w:t>
      </w:r>
    </w:p>
    <w:p w:rsidR="007D06DC" w:rsidP="007D06DC" w:rsidRDefault="007D06DC">
      <w:pPr>
        <w:pStyle w:val="CuerpoB"/>
        <w:widowControl w:val="0"/>
        <w:spacing w:line="360" w:lineRule="auto"/>
        <w:ind w:left="340" w:firstLine="340"/>
        <w:jc w:val="both"/>
        <w:rPr>
          <w:rStyle w:val="Ninguno"/>
          <w:sz w:val="28"/>
          <w:szCs w:val="28"/>
        </w:rPr>
      </w:pPr>
      <w:r>
        <w:rPr>
          <w:rStyle w:val="Ninguno"/>
          <w:sz w:val="28"/>
          <w:szCs w:val="28"/>
        </w:rPr>
        <w:t>Army health resort No 1.</w:t>
      </w:r>
    </w:p>
    <w:p w:rsidR="007D06DC" w:rsidP="007D06DC" w:rsidRDefault="007D06DC">
      <w:pPr>
        <w:pStyle w:val="CuerpoB"/>
        <w:widowControl w:val="0"/>
        <w:spacing w:line="360" w:lineRule="auto"/>
        <w:ind w:left="340" w:firstLine="340"/>
        <w:jc w:val="both"/>
        <w:rPr>
          <w:rStyle w:val="Ninguno"/>
          <w:sz w:val="28"/>
          <w:szCs w:val="28"/>
        </w:rPr>
      </w:pPr>
      <w:r>
        <w:rPr>
          <w:rStyle w:val="Ninguno"/>
          <w:sz w:val="28"/>
          <w:szCs w:val="28"/>
        </w:rPr>
        <w:t>October, 17, 1947</w:t>
      </w:r>
    </w:p>
    <w:p w:rsidR="007D06DC" w:rsidP="007D06DC" w:rsidRDefault="007D06DC">
      <w:pPr>
        <w:pStyle w:val="CuerpoB"/>
        <w:widowControl w:val="0"/>
        <w:spacing w:line="360" w:lineRule="auto"/>
        <w:ind w:left="340" w:firstLine="340"/>
        <w:jc w:val="both"/>
        <w:rPr>
          <w:sz w:val="28"/>
          <w:szCs w:val="28"/>
        </w:rPr>
      </w:pPr>
    </w:p>
    <w:p w:rsidR="007D06DC" w:rsidP="007D06DC" w:rsidRDefault="007D06DC">
      <w:pPr>
        <w:pStyle w:val="CuerpoB"/>
        <w:widowControl w:val="0"/>
        <w:spacing w:line="360" w:lineRule="auto"/>
        <w:jc w:val="both"/>
        <w:rPr>
          <w:rStyle w:val="Ninguno"/>
          <w:sz w:val="28"/>
          <w:szCs w:val="28"/>
        </w:rPr>
      </w:pPr>
      <w:r>
        <w:rPr>
          <w:rStyle w:val="Ninguno"/>
          <w:sz w:val="28"/>
          <w:szCs w:val="28"/>
        </w:rPr>
        <w:t>[FPARF, f. 0431/V, inv. 5, fold. 2, file 6]</w:t>
      </w:r>
    </w:p>
    <w:p w:rsidR="007D06DC" w:rsidP="007D06DC" w:rsidRDefault="007D06DC">
      <w:pPr>
        <w:pStyle w:val="CuerpoB"/>
        <w:widowControl w:val="0"/>
        <w:spacing w:line="360" w:lineRule="auto"/>
        <w:jc w:val="both"/>
        <w:rPr>
          <w:sz w:val="28"/>
          <w:szCs w:val="28"/>
        </w:rPr>
      </w:pPr>
    </w:p>
    <w:p w:rsidR="008B6C6F" w:rsidP="007D06DC" w:rsidRDefault="007D06DC">
      <w:r>
        <w:rPr>
          <w:rStyle w:val="Ninguno"/>
          <w:sz w:val="28"/>
          <w:szCs w:val="28"/>
        </w:rPr>
        <w:t>Keywords: inter-allied relations, post-war Germany, post-war order, United Nations</w:t>
      </w:r>
    </w:p>
    <w:sectPr w:rsidR="008B6C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6DC" w:rsidRDefault="007D06DC" w:rsidP="007D06DC">
      <w:r>
        <w:separator/>
      </w:r>
    </w:p>
  </w:endnote>
  <w:endnote w:type="continuationSeparator" w:id="0">
    <w:p w:rsidR="007D06DC" w:rsidRDefault="007D06DC" w:rsidP="007D0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6DC" w:rsidRDefault="007D06DC" w:rsidP="007D06DC">
      <w:r>
        <w:separator/>
      </w:r>
    </w:p>
  </w:footnote>
  <w:footnote w:type="continuationSeparator" w:id="0">
    <w:p w:rsidR="007D06DC" w:rsidRDefault="007D06DC" w:rsidP="007D06DC">
      <w:r>
        <w:continuationSeparator/>
      </w:r>
    </w:p>
  </w:footnote>
  <w:footnote w:id="1">
    <w:p w:rsidR="007D06DC" w:rsidRDefault="007D06DC" w:rsidP="007D06DC">
      <w:pPr>
        <w:pStyle w:val="FootnoteText"/>
      </w:pPr>
      <w:r>
        <w:rPr>
          <w:rStyle w:val="EndnoteReference"/>
        </w:rPr>
        <w:footnoteRef/>
      </w:r>
      <w:r>
        <w:rPr>
          <w:rStyle w:val="PageNumber"/>
        </w:rPr>
        <w:t xml:space="preserve"> </w:t>
      </w:r>
      <w:proofErr w:type="spellStart"/>
      <w:r>
        <w:rPr>
          <w:lang w:val="en-US"/>
        </w:rPr>
        <w:t>Gusev</w:t>
      </w:r>
      <w:proofErr w:type="spellEnd"/>
      <w:r>
        <w:rPr>
          <w:lang w:val="en-US"/>
        </w:rPr>
        <w:t xml:space="preserve">, </w:t>
      </w:r>
      <w:r>
        <w:rPr>
          <w:rStyle w:val="PageNumber"/>
        </w:rPr>
        <w:t xml:space="preserve">Fyodor </w:t>
      </w:r>
      <w:proofErr w:type="spellStart"/>
      <w:r>
        <w:rPr>
          <w:rStyle w:val="PageNumber"/>
        </w:rPr>
        <w:t>Tarasovich</w:t>
      </w:r>
      <w:proofErr w:type="spellEnd"/>
      <w:r>
        <w:rPr>
          <w:rStyle w:val="PageNumber"/>
        </w:rPr>
        <w:t xml:space="preserve"> (1905-1987) - Soviet diplomat. Soviet ambassador to Canada (1942-1943), Soviet ambassador to the UK (1943-1946), Deputy Minister of the Foreign Affairs of the USSR (1946-1952).</w:t>
      </w:r>
    </w:p>
  </w:footnote>
  <w:footnote w:id="2">
    <w:p w:rsidR="007D06DC" w:rsidRDefault="007D06DC" w:rsidP="007D06DC">
      <w:pPr>
        <w:pStyle w:val="FootnoteText"/>
        <w:jc w:val="both"/>
      </w:pPr>
      <w:r>
        <w:rPr>
          <w:rStyle w:val="Ninguno"/>
          <w:vertAlign w:val="superscript"/>
          <w:lang w:val="ru-RU"/>
        </w:rPr>
        <w:footnoteRef/>
      </w:r>
      <w:r>
        <w:rPr>
          <w:rStyle w:val="Ninguno"/>
        </w:rPr>
        <w:t xml:space="preserve"> </w:t>
      </w:r>
      <w:r>
        <w:rPr>
          <w:lang w:val="en-US"/>
        </w:rPr>
        <w:t xml:space="preserve">Smirnov, Andrey </w:t>
      </w:r>
      <w:proofErr w:type="spellStart"/>
      <w:r>
        <w:rPr>
          <w:lang w:val="en-US"/>
        </w:rPr>
        <w:t>Andreyevich</w:t>
      </w:r>
      <w:proofErr w:type="spellEnd"/>
      <w:r>
        <w:rPr>
          <w:lang w:val="en-US"/>
        </w:rPr>
        <w:t xml:space="preserve"> (1905-1982) - Soviet diplomat. Soviet Ambassador to Iran (1941-1943), Head of the 3</w:t>
      </w:r>
      <w:r>
        <w:rPr>
          <w:rStyle w:val="Ninguno"/>
          <w:vertAlign w:val="superscript"/>
        </w:rPr>
        <w:t>rd</w:t>
      </w:r>
      <w:r>
        <w:rPr>
          <w:lang w:val="en-US"/>
        </w:rPr>
        <w:t xml:space="preserve"> European Department of the NKID (from 1946 it became the Ministry of Foreign Affairs) of the USSR (1943 - 1949), Deputy Minister of the Foreign Affairs of the RSFSR (1946-1949), Member of the Collegium of the Ministry of Foreign Affairs of the USSR (1946-1949),  Member of the Apparat of the Central Committee of the All-Union Communist Party of Bolsheviks (1949 - 1956) - this became the Central Committee of the Communist Party of the Soviet Union from 1952; Soviet ambassador to Austria (1956-1957), Soviet ambassador to West Germany (1957-1966), Soviet ambassador to Turkey (1966-1969), Deputy Minister of Foreign Affairs (1969-1973), Chairman of the Soviet Committee on UNESCO Affairs (1970-1973).</w:t>
      </w:r>
    </w:p>
  </w:footnote>
  <w:footnote w:id="3">
    <w:p w:rsidR="007D06DC" w:rsidRDefault="007D06DC" w:rsidP="007D06DC">
      <w:pPr>
        <w:pStyle w:val="FootnoteText"/>
        <w:jc w:val="both"/>
      </w:pPr>
      <w:r>
        <w:rPr>
          <w:rStyle w:val="Ninguno"/>
          <w:vertAlign w:val="superscript"/>
          <w:lang w:val="ru-RU"/>
        </w:rPr>
        <w:footnoteRef/>
      </w:r>
      <w:r>
        <w:rPr>
          <w:rStyle w:val="Ninguno"/>
        </w:rPr>
        <w:t xml:space="preserve"> The 5</w:t>
      </w:r>
      <w:r>
        <w:rPr>
          <w:rStyle w:val="Ninguno"/>
          <w:vertAlign w:val="superscript"/>
        </w:rPr>
        <w:t>th</w:t>
      </w:r>
      <w:r>
        <w:rPr>
          <w:rStyle w:val="Ninguno"/>
        </w:rPr>
        <w:t xml:space="preserve"> session of the Council of Foreign Ministers was held in London between 25 November and 15 December 1947.</w:t>
      </w:r>
    </w:p>
  </w:footnote>
  <w:footnote w:id="4">
    <w:p w:rsidR="007D06DC" w:rsidRDefault="007D06DC" w:rsidP="007D06DC">
      <w:pPr>
        <w:pStyle w:val="FootnoteText"/>
        <w:jc w:val="both"/>
      </w:pPr>
      <w:r>
        <w:rPr>
          <w:rStyle w:val="Ninguno"/>
          <w:vertAlign w:val="superscript"/>
          <w:lang w:val="ru-RU"/>
        </w:rPr>
        <w:footnoteRef/>
      </w:r>
      <w:r>
        <w:rPr>
          <w:rStyle w:val="Ninguno"/>
        </w:rPr>
        <w:t xml:space="preserve"> The French Government feared major reunification of German territories and thus prevented any attempts at reunification until 1947, advocating strong </w:t>
      </w:r>
      <w:proofErr w:type="spellStart"/>
      <w:r>
        <w:rPr>
          <w:rStyle w:val="Ninguno"/>
        </w:rPr>
        <w:t>federalisation</w:t>
      </w:r>
      <w:proofErr w:type="spellEnd"/>
      <w:r>
        <w:rPr>
          <w:rStyle w:val="Ninguno"/>
        </w:rPr>
        <w:t xml:space="preserve">. The Monnet Plan of 1946 saw France seeking to exercise control over the Ruhr and Saar regions, the principal industrial </w:t>
      </w:r>
      <w:proofErr w:type="spellStart"/>
      <w:r>
        <w:rPr>
          <w:rStyle w:val="Ninguno"/>
        </w:rPr>
        <w:t>centres</w:t>
      </w:r>
      <w:proofErr w:type="spellEnd"/>
      <w:r>
        <w:rPr>
          <w:rStyle w:val="Ninguno"/>
        </w:rPr>
        <w:t xml:space="preserve"> in Germany. In political terms, this meant at the very least, international control over the Ruhr. In mid-1947 Great Britain and the United States applied pressure on the French Government, advancing a demand that France should not oppose economic unification of the German zones of occupation. This was in exchange for support in the face of a shortage of coal. See </w:t>
      </w:r>
      <w:proofErr w:type="spellStart"/>
      <w:r>
        <w:rPr>
          <w:rStyle w:val="Ninguno"/>
        </w:rPr>
        <w:t>Boldyrev</w:t>
      </w:r>
      <w:proofErr w:type="spellEnd"/>
      <w:r>
        <w:rPr>
          <w:rStyle w:val="Ninguno"/>
        </w:rPr>
        <w:t xml:space="preserve">, O. M., </w:t>
      </w:r>
      <w:proofErr w:type="gramStart"/>
      <w:r>
        <w:rPr>
          <w:rStyle w:val="Ninguno"/>
          <w:i/>
          <w:iCs/>
        </w:rPr>
        <w:t>Jean</w:t>
      </w:r>
      <w:proofErr w:type="gramEnd"/>
      <w:r>
        <w:rPr>
          <w:rStyle w:val="Ninguno"/>
          <w:i/>
          <w:iCs/>
        </w:rPr>
        <w:t xml:space="preserve"> Monnet: At the Origins of a United Europe</w:t>
      </w:r>
      <w:r>
        <w:rPr>
          <w:rStyle w:val="Ninguno"/>
        </w:rPr>
        <w:t xml:space="preserve"> (Yelets, 2008).</w:t>
      </w:r>
    </w:p>
  </w:footnote>
  <w:footnote w:id="5">
    <w:p w:rsidR="007D06DC" w:rsidRDefault="007D06DC" w:rsidP="007D06DC">
      <w:pPr>
        <w:pStyle w:val="FootnoteText"/>
        <w:jc w:val="both"/>
      </w:pPr>
      <w:r>
        <w:rPr>
          <w:rStyle w:val="Ninguno"/>
          <w:vertAlign w:val="superscript"/>
          <w:lang w:val="ru-RU"/>
        </w:rPr>
        <w:footnoteRef/>
      </w:r>
      <w:r>
        <w:rPr>
          <w:rStyle w:val="Ninguno"/>
        </w:rPr>
        <w:t xml:space="preserve"> The </w:t>
      </w:r>
      <w:proofErr w:type="spellStart"/>
      <w:r>
        <w:rPr>
          <w:rStyle w:val="Ninguno"/>
        </w:rPr>
        <w:t>Bizonal</w:t>
      </w:r>
      <w:proofErr w:type="spellEnd"/>
      <w:r>
        <w:rPr>
          <w:rStyle w:val="Ninguno"/>
        </w:rPr>
        <w:t xml:space="preserve"> Economic Council began functioning on 10 June 1947 as a </w:t>
      </w:r>
      <w:r>
        <w:rPr>
          <w:rStyle w:val="Ninguno"/>
          <w:i/>
          <w:iCs/>
        </w:rPr>
        <w:t>de facto</w:t>
      </w:r>
      <w:r>
        <w:rPr>
          <w:rStyle w:val="Ninguno"/>
        </w:rPr>
        <w:t xml:space="preserve"> legislative body, the prototype of the Bundestag. </w:t>
      </w:r>
    </w:p>
  </w:footnote>
  <w:footnote w:id="6">
    <w:p w:rsidR="007D06DC" w:rsidRDefault="007D06DC" w:rsidP="007D06DC">
      <w:pPr>
        <w:pStyle w:val="FootnoteText"/>
        <w:jc w:val="both"/>
      </w:pPr>
      <w:r>
        <w:rPr>
          <w:rStyle w:val="Ninguno"/>
          <w:vertAlign w:val="superscript"/>
          <w:lang w:val="ru-RU"/>
        </w:rPr>
        <w:footnoteRef/>
      </w:r>
      <w:r>
        <w:rPr>
          <w:rStyle w:val="Ninguno"/>
        </w:rPr>
        <w:t xml:space="preserve"> The situation in Berlin deteriorated significantly after the elections of 20 October 1946, in which the SED won less than 20% of the votes. This led to the election of the Social Democrat, Ernst Reuter, as mayor, who was not </w:t>
      </w:r>
      <w:proofErr w:type="spellStart"/>
      <w:r>
        <w:rPr>
          <w:rStyle w:val="Ninguno"/>
        </w:rPr>
        <w:t>recognised</w:t>
      </w:r>
      <w:proofErr w:type="spellEnd"/>
      <w:r>
        <w:rPr>
          <w:rStyle w:val="Ninguno"/>
        </w:rPr>
        <w:t xml:space="preserve"> by the Soviets.</w:t>
      </w:r>
    </w:p>
  </w:footnote>
  <w:footnote w:id="7">
    <w:p w:rsidR="007D06DC" w:rsidRDefault="007D06DC" w:rsidP="007D06DC">
      <w:pPr>
        <w:pStyle w:val="FootnoteText"/>
        <w:jc w:val="both"/>
      </w:pPr>
      <w:r>
        <w:rPr>
          <w:rStyle w:val="Ninguno"/>
          <w:vertAlign w:val="superscript"/>
          <w:lang w:val="ru-RU"/>
        </w:rPr>
        <w:footnoteRef/>
      </w:r>
      <w:r>
        <w:rPr>
          <w:rStyle w:val="Ninguno"/>
        </w:rPr>
        <w:t xml:space="preserve"> A meeting of sixteen countries was held on 12 July 1946. In attendance were all the major Western European countries.</w:t>
      </w:r>
    </w:p>
  </w:footnote>
  <w:footnote w:id="8">
    <w:p w:rsidR="007D06DC" w:rsidRDefault="007D06DC" w:rsidP="007D06DC">
      <w:pPr>
        <w:pStyle w:val="FootnoteText"/>
        <w:jc w:val="both"/>
      </w:pPr>
      <w:r>
        <w:rPr>
          <w:rStyle w:val="Ninguno"/>
          <w:vertAlign w:val="superscript"/>
          <w:lang w:val="ru-RU"/>
        </w:rPr>
        <w:footnoteRef/>
      </w:r>
      <w:r>
        <w:rPr>
          <w:rStyle w:val="Ninguno"/>
        </w:rPr>
        <w:t xml:space="preserve"> Yalta and Potsdam.</w:t>
      </w:r>
    </w:p>
  </w:footnote>
  <w:footnote w:id="9">
    <w:p w:rsidR="007D06DC" w:rsidRDefault="007D06DC" w:rsidP="007D06DC">
      <w:pPr>
        <w:pStyle w:val="FootnoteText"/>
        <w:jc w:val="both"/>
      </w:pPr>
      <w:r>
        <w:rPr>
          <w:rStyle w:val="Ninguno"/>
          <w:sz w:val="28"/>
          <w:szCs w:val="28"/>
          <w:vertAlign w:val="superscript"/>
          <w:lang w:val="ru-RU"/>
        </w:rPr>
        <w:footnoteRef/>
      </w:r>
      <w:r>
        <w:rPr>
          <w:rStyle w:val="Ninguno"/>
        </w:rPr>
        <w:t xml:space="preserve"> Greater Berlin was territory lying contiguous with Old Berlin that was subsumed in 1920. This territory was significant in area. The zones of occupation of Greater Berlin were distributed proportionally.</w:t>
      </w:r>
    </w:p>
  </w:footnote>
  <w:footnote w:id="10">
    <w:p w:rsidR="007D06DC" w:rsidRDefault="007D06DC" w:rsidP="007D06DC">
      <w:pPr>
        <w:pStyle w:val="FootnoteText"/>
        <w:jc w:val="both"/>
      </w:pPr>
      <w:r>
        <w:rPr>
          <w:rStyle w:val="Ninguno"/>
          <w:sz w:val="28"/>
          <w:szCs w:val="28"/>
          <w:vertAlign w:val="superscript"/>
          <w:lang w:val="ru-RU"/>
        </w:rPr>
        <w:footnoteRef/>
      </w:r>
      <w:r>
        <w:rPr>
          <w:rStyle w:val="Ninguno"/>
        </w:rPr>
        <w:t xml:space="preserve"> American troops left Thuringia in July 1945, having been allocated allied zones of occupation in Berlin instead.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73F7C"/>
    <w:multiLevelType w:val="hybridMultilevel"/>
    <w:tmpl w:val="607C1316"/>
    <w:styleLink w:val="Estiloimportado13"/>
    <w:lvl w:ilvl="0" w:tplc="8F58AE46">
      <w:start w:val="1"/>
      <w:numFmt w:val="decimal"/>
      <w:lvlText w:val="%1)"/>
      <w:lvlJc w:val="left"/>
      <w:pPr>
        <w:tabs>
          <w:tab w:val="left" w:pos="2124"/>
        </w:tabs>
        <w:ind w:left="935"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984E3A">
      <w:start w:val="1"/>
      <w:numFmt w:val="lowerLetter"/>
      <w:lvlText w:val="%2."/>
      <w:lvlJc w:val="left"/>
      <w:pPr>
        <w:tabs>
          <w:tab w:val="left" w:pos="2124"/>
        </w:tabs>
        <w:ind w:left="1382" w:hanging="3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668F5E">
      <w:start w:val="1"/>
      <w:numFmt w:val="lowerRoman"/>
      <w:lvlText w:val="%3."/>
      <w:lvlJc w:val="left"/>
      <w:pPr>
        <w:tabs>
          <w:tab w:val="left" w:pos="2124"/>
        </w:tabs>
        <w:ind w:left="209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DE7EF4">
      <w:start w:val="1"/>
      <w:numFmt w:val="decimal"/>
      <w:lvlText w:val="%4."/>
      <w:lvlJc w:val="left"/>
      <w:pPr>
        <w:tabs>
          <w:tab w:val="left" w:pos="2124"/>
        </w:tabs>
        <w:ind w:left="2820"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3AFDE8">
      <w:start w:val="1"/>
      <w:numFmt w:val="lowerLetter"/>
      <w:lvlText w:val="%5."/>
      <w:lvlJc w:val="left"/>
      <w:pPr>
        <w:tabs>
          <w:tab w:val="left" w:pos="2124"/>
        </w:tabs>
        <w:ind w:left="353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0262D0">
      <w:start w:val="1"/>
      <w:numFmt w:val="lowerRoman"/>
      <w:lvlText w:val="%6."/>
      <w:lvlJc w:val="left"/>
      <w:pPr>
        <w:tabs>
          <w:tab w:val="left" w:pos="2124"/>
        </w:tabs>
        <w:ind w:left="4254"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582AF8">
      <w:start w:val="1"/>
      <w:numFmt w:val="decimal"/>
      <w:lvlText w:val="%7."/>
      <w:lvlJc w:val="left"/>
      <w:pPr>
        <w:tabs>
          <w:tab w:val="left" w:pos="2124"/>
        </w:tabs>
        <w:ind w:left="4977"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CA5C96">
      <w:start w:val="1"/>
      <w:numFmt w:val="lowerLetter"/>
      <w:lvlText w:val="%8."/>
      <w:lvlJc w:val="left"/>
      <w:pPr>
        <w:tabs>
          <w:tab w:val="left" w:pos="2124"/>
        </w:tabs>
        <w:ind w:left="5697" w:hanging="2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548FF8">
      <w:start w:val="1"/>
      <w:numFmt w:val="lowerRoman"/>
      <w:lvlText w:val="%9."/>
      <w:lvlJc w:val="left"/>
      <w:pPr>
        <w:tabs>
          <w:tab w:val="left" w:pos="2124"/>
        </w:tabs>
        <w:ind w:left="6411" w:hanging="1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4E584DF4"/>
    <w:multiLevelType w:val="hybridMultilevel"/>
    <w:tmpl w:val="607C1316"/>
    <w:numStyleLink w:val="Estiloimportado13"/>
  </w:abstractNum>
  <w:num w:numId="1">
    <w:abstractNumId w:val="0"/>
  </w:num>
  <w:num w:numId="2">
    <w:abstractNumId w:val="1"/>
  </w:num>
  <w:num w:numId="3">
    <w:abstractNumId w:val="1"/>
    <w:lvlOverride w:ilvl="0">
      <w:lvl w:ilvl="0" w:tplc="2164509C">
        <w:start w:val="1"/>
        <w:numFmt w:val="decimal"/>
        <w:lvlText w:val="%1)"/>
        <w:lvlJc w:val="left"/>
        <w:pPr>
          <w:tabs>
            <w:tab w:val="left" w:pos="2124"/>
          </w:tabs>
          <w:ind w:left="935" w:hanging="3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7EC0B48">
        <w:start w:val="1"/>
        <w:numFmt w:val="lowerLetter"/>
        <w:lvlText w:val="%2."/>
        <w:lvlJc w:val="left"/>
        <w:pPr>
          <w:tabs>
            <w:tab w:val="left" w:pos="2124"/>
          </w:tabs>
          <w:ind w:left="1382" w:hanging="4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5F6768E">
        <w:start w:val="1"/>
        <w:numFmt w:val="lowerRoman"/>
        <w:lvlText w:val="%3."/>
        <w:lvlJc w:val="left"/>
        <w:pPr>
          <w:tabs>
            <w:tab w:val="left" w:pos="2124"/>
          </w:tabs>
          <w:ind w:left="2097"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5E28D1C">
        <w:start w:val="1"/>
        <w:numFmt w:val="decimal"/>
        <w:lvlText w:val="%4."/>
        <w:lvlJc w:val="left"/>
        <w:pPr>
          <w:tabs>
            <w:tab w:val="left" w:pos="2124"/>
          </w:tabs>
          <w:ind w:left="2820" w:hanging="4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6AE5E8C">
        <w:start w:val="1"/>
        <w:numFmt w:val="lowerLetter"/>
        <w:lvlText w:val="%5."/>
        <w:lvlJc w:val="left"/>
        <w:pPr>
          <w:tabs>
            <w:tab w:val="left" w:pos="2124"/>
          </w:tabs>
          <w:ind w:left="3539"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D0C9EA8">
        <w:start w:val="1"/>
        <w:numFmt w:val="lowerRoman"/>
        <w:lvlText w:val="%6."/>
        <w:lvlJc w:val="left"/>
        <w:pPr>
          <w:tabs>
            <w:tab w:val="left" w:pos="2124"/>
          </w:tabs>
          <w:ind w:left="4254" w:hanging="3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172AA56">
        <w:start w:val="1"/>
        <w:numFmt w:val="decimal"/>
        <w:lvlText w:val="%7."/>
        <w:lvlJc w:val="left"/>
        <w:pPr>
          <w:tabs>
            <w:tab w:val="left" w:pos="2124"/>
          </w:tabs>
          <w:ind w:left="4977" w:hanging="3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C5EBAD8">
        <w:start w:val="1"/>
        <w:numFmt w:val="lowerLetter"/>
        <w:lvlText w:val="%8."/>
        <w:lvlJc w:val="left"/>
        <w:pPr>
          <w:tabs>
            <w:tab w:val="left" w:pos="2124"/>
          </w:tabs>
          <w:ind w:left="5697"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906BE32">
        <w:start w:val="1"/>
        <w:numFmt w:val="lowerRoman"/>
        <w:lvlText w:val="%9."/>
        <w:lvlJc w:val="left"/>
        <w:pPr>
          <w:tabs>
            <w:tab w:val="left" w:pos="2124"/>
          </w:tabs>
          <w:ind w:left="6411"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lvl w:ilvl="0" w:tplc="2164509C">
        <w:start w:val="1"/>
        <w:numFmt w:val="decimal"/>
        <w:lvlText w:val="%1)"/>
        <w:lvlJc w:val="left"/>
        <w:pPr>
          <w:tabs>
            <w:tab w:val="left" w:pos="90"/>
            <w:tab w:val="left" w:pos="2124"/>
          </w:tabs>
          <w:ind w:left="1029"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7EC0B48">
        <w:start w:val="1"/>
        <w:numFmt w:val="lowerLetter"/>
        <w:lvlText w:val="%2."/>
        <w:lvlJc w:val="left"/>
        <w:pPr>
          <w:tabs>
            <w:tab w:val="left" w:pos="90"/>
            <w:tab w:val="left" w:pos="2124"/>
          </w:tabs>
          <w:ind w:left="1382" w:hanging="5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5F6768E">
        <w:start w:val="1"/>
        <w:numFmt w:val="lowerRoman"/>
        <w:lvlText w:val="%3."/>
        <w:lvlJc w:val="left"/>
        <w:pPr>
          <w:tabs>
            <w:tab w:val="left" w:pos="90"/>
            <w:tab w:val="left" w:pos="2124"/>
          </w:tabs>
          <w:ind w:left="2097"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5E28D1C">
        <w:start w:val="1"/>
        <w:numFmt w:val="decimal"/>
        <w:lvlText w:val="%4."/>
        <w:lvlJc w:val="left"/>
        <w:pPr>
          <w:tabs>
            <w:tab w:val="left" w:pos="90"/>
            <w:tab w:val="left" w:pos="2124"/>
          </w:tabs>
          <w:ind w:left="2820" w:hanging="4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6AE5E8C">
        <w:start w:val="1"/>
        <w:numFmt w:val="lowerLetter"/>
        <w:lvlText w:val="%5."/>
        <w:lvlJc w:val="left"/>
        <w:pPr>
          <w:tabs>
            <w:tab w:val="left" w:pos="90"/>
            <w:tab w:val="left" w:pos="2124"/>
          </w:tabs>
          <w:ind w:left="3539" w:hanging="48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D0C9EA8">
        <w:start w:val="1"/>
        <w:numFmt w:val="lowerRoman"/>
        <w:lvlText w:val="%6."/>
        <w:lvlJc w:val="left"/>
        <w:pPr>
          <w:tabs>
            <w:tab w:val="left" w:pos="90"/>
            <w:tab w:val="left" w:pos="2124"/>
          </w:tabs>
          <w:ind w:left="4254" w:hanging="4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172AA56">
        <w:start w:val="1"/>
        <w:numFmt w:val="decimal"/>
        <w:lvlText w:val="%7."/>
        <w:lvlJc w:val="left"/>
        <w:pPr>
          <w:tabs>
            <w:tab w:val="left" w:pos="90"/>
            <w:tab w:val="left" w:pos="2124"/>
          </w:tabs>
          <w:ind w:left="4977" w:hanging="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C5EBAD8">
        <w:start w:val="1"/>
        <w:numFmt w:val="lowerLetter"/>
        <w:lvlText w:val="%8."/>
        <w:lvlJc w:val="left"/>
        <w:pPr>
          <w:tabs>
            <w:tab w:val="left" w:pos="90"/>
            <w:tab w:val="left" w:pos="2124"/>
          </w:tabs>
          <w:ind w:left="5697" w:hanging="4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906BE32">
        <w:start w:val="1"/>
        <w:numFmt w:val="lowerRoman"/>
        <w:lvlText w:val="%9."/>
        <w:lvlJc w:val="left"/>
        <w:pPr>
          <w:tabs>
            <w:tab w:val="left" w:pos="90"/>
            <w:tab w:val="left" w:pos="2124"/>
          </w:tabs>
          <w:ind w:left="6411" w:hanging="374"/>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6DC"/>
    <w:rsid w:val="007D06DC"/>
    <w:rsid w:val="008B6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8A544-E3CA-4A70-8B40-1ADC51703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D06D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A">
    <w:name w:val="Cuerpo A"/>
    <w:rsid w:val="007D06DC"/>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character" w:customStyle="1" w:styleId="Ninguno">
    <w:name w:val="Ninguno"/>
    <w:rsid w:val="007D06DC"/>
    <w:rPr>
      <w:lang w:val="en-US"/>
    </w:rPr>
  </w:style>
  <w:style w:type="paragraph" w:styleId="FootnoteText">
    <w:name w:val="footnote text"/>
    <w:link w:val="FootnoteTextChar"/>
    <w:rsid w:val="007D06DC"/>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7D06DC"/>
    <w:rPr>
      <w:rFonts w:ascii="Times New Roman" w:eastAsia="Times New Roman" w:hAnsi="Times New Roman" w:cs="Times New Roman"/>
      <w:color w:val="000000"/>
      <w:sz w:val="20"/>
      <w:szCs w:val="20"/>
      <w:u w:color="000000"/>
      <w:bdr w:val="nil"/>
      <w:lang w:val="ru-RU"/>
    </w:rPr>
  </w:style>
  <w:style w:type="character" w:styleId="PageNumber">
    <w:name w:val="page number"/>
    <w:basedOn w:val="Ninguno"/>
    <w:rsid w:val="007D06DC"/>
    <w:rPr>
      <w:lang w:val="en-US"/>
    </w:rPr>
  </w:style>
  <w:style w:type="character" w:styleId="EndnoteReference">
    <w:name w:val="endnote reference"/>
    <w:basedOn w:val="Ninguno"/>
    <w:rsid w:val="007D06DC"/>
    <w:rPr>
      <w:vertAlign w:val="superscript"/>
      <w:lang w:val="en-US"/>
    </w:rPr>
  </w:style>
  <w:style w:type="paragraph" w:customStyle="1" w:styleId="CuerpoB">
    <w:name w:val="Cuerpo B"/>
    <w:rsid w:val="007D06D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numbering" w:customStyle="1" w:styleId="Estiloimportado13">
    <w:name w:val="Estilo importado 13"/>
    <w:rsid w:val="007D06DC"/>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1992</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1947-10-17 Gusev message to Molotov</dc:title>
  <dc:subject>
  </dc:subject>
  <dc:creator>Kozielska,MM  (ug)</dc:creator>
  <cp:keywords>
  </cp:keywords>
  <dc:description>
  </dc:description>
  <cp:lastModifiedBy>Joseph Barnsley</cp:lastModifiedBy>
  <cp:revision>1</cp:revision>
  <dcterms:created xsi:type="dcterms:W3CDTF">2016-07-12T14:37:00Z</dcterms:created>
  <dcterms:modified xsi:type="dcterms:W3CDTF">2017-07-17T14:08:02Z</dcterms:modified>
</cp:coreProperties>
</file>