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E8" w:rsidP="00FA42E8" w:rsidRDefault="00FA42E8">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V.M. Molotov to Soviet embassies in Warsaw, Prague and Belgrade, 22 June 1947</w:t>
      </w:r>
    </w:p>
    <w:p w:rsidR="00FA42E8" w:rsidP="00FA42E8" w:rsidRDefault="00FA42E8">
      <w:pPr>
        <w:pStyle w:val="CuerpoA"/>
        <w:spacing w:line="360" w:lineRule="auto"/>
        <w:jc w:val="both"/>
        <w:rPr>
          <w:rStyle w:val="Ninguno"/>
          <w:rFonts w:ascii="Times New Roman" w:hAnsi="Times New Roman" w:eastAsia="Times New Roman" w:cs="Times New Roman"/>
          <w:sz w:val="28"/>
          <w:szCs w:val="28"/>
          <w:u w:val="single"/>
        </w:rPr>
      </w:pPr>
      <w:bookmarkStart w:name="_GoBack" w:id="0"/>
    </w:p>
    <w:bookmarkEnd w:id="0"/>
    <w:p w:rsidR="00FA42E8" w:rsidP="00FA42E8" w:rsidRDefault="00FA42E8">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PRIORITY.</w:t>
      </w:r>
    </w:p>
    <w:p w:rsidR="00FA42E8" w:rsidP="00FA42E8" w:rsidRDefault="00FA42E8">
      <w:pPr>
        <w:pStyle w:val="CuerpoB"/>
        <w:widowControl w:val="0"/>
        <w:spacing w:line="360" w:lineRule="auto"/>
        <w:ind w:firstLine="340"/>
        <w:jc w:val="right"/>
        <w:rPr>
          <w:sz w:val="28"/>
          <w:szCs w:val="28"/>
        </w:rPr>
      </w:pPr>
    </w:p>
    <w:p w:rsidR="00FA42E8" w:rsidP="00FA42E8" w:rsidRDefault="00FA42E8">
      <w:pPr>
        <w:pStyle w:val="CuerpoB"/>
        <w:widowControl w:val="0"/>
        <w:spacing w:line="360" w:lineRule="auto"/>
        <w:rPr>
          <w:rStyle w:val="Ninguno"/>
          <w:sz w:val="28"/>
          <w:szCs w:val="28"/>
        </w:rPr>
      </w:pPr>
      <w:r>
        <w:rPr>
          <w:rStyle w:val="Ninguno"/>
          <w:sz w:val="28"/>
          <w:szCs w:val="28"/>
          <w:lang w:val="de-DE"/>
        </w:rPr>
        <w:t xml:space="preserve">WARSAW, SOVIET EMBASSY, </w:t>
      </w:r>
      <w:r>
        <w:rPr>
          <w:rStyle w:val="Ninguno"/>
          <w:sz w:val="28"/>
          <w:szCs w:val="28"/>
          <w:lang w:val="de-DE"/>
        </w:rPr>
        <w:tab/>
        <w:t>TO LEBEDEV</w:t>
      </w:r>
      <w:r>
        <w:rPr>
          <w:rStyle w:val="Ninguno"/>
          <w:sz w:val="28"/>
          <w:szCs w:val="28"/>
          <w:vertAlign w:val="superscript"/>
        </w:rPr>
        <w:footnoteReference w:id="1"/>
      </w:r>
      <w:r>
        <w:rPr>
          <w:rStyle w:val="Ninguno"/>
          <w:sz w:val="28"/>
          <w:szCs w:val="28"/>
        </w:rPr>
        <w:t>,</w:t>
      </w:r>
    </w:p>
    <w:p w:rsidR="00FA42E8" w:rsidP="00FA42E8" w:rsidRDefault="00FA42E8">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PRAGUE </w:t>
      </w:r>
      <w:r>
        <w:rPr>
          <w:rStyle w:val="Ninguno"/>
          <w:rFonts w:ascii="Times New Roman" w:hAnsi="Times New Roman"/>
          <w:sz w:val="28"/>
          <w:szCs w:val="28"/>
        </w:rPr>
        <w:tab/>
      </w:r>
      <w:r>
        <w:rPr>
          <w:rStyle w:val="Ninguno"/>
          <w:rFonts w:ascii="Times New Roman" w:hAnsi="Times New Roman"/>
          <w:sz w:val="28"/>
          <w:szCs w:val="28"/>
        </w:rPr>
        <w:tab/>
        <w:t xml:space="preserve"> - || - </w:t>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t xml:space="preserve"> TO </w:t>
      </w:r>
      <w:proofErr w:type="gramStart"/>
      <w:r>
        <w:rPr>
          <w:rStyle w:val="Ninguno"/>
          <w:rFonts w:ascii="Times New Roman" w:hAnsi="Times New Roman"/>
          <w:sz w:val="28"/>
          <w:szCs w:val="28"/>
        </w:rPr>
        <w:t>BODROV</w:t>
      </w:r>
      <w:r>
        <w:rPr>
          <w:rStyle w:val="Ninguno"/>
          <w:rFonts w:ascii="Times New Roman" w:hAnsi="Times New Roman"/>
          <w:sz w:val="28"/>
          <w:szCs w:val="28"/>
          <w:vertAlign w:val="superscript"/>
        </w:rPr>
        <w:t xml:space="preserve"> </w:t>
      </w:r>
      <w:proofErr w:type="gramEnd"/>
      <w:r>
        <w:rPr>
          <w:rStyle w:val="Ninguno"/>
          <w:rFonts w:ascii="Times New Roman" w:hAnsi="Times New Roman" w:eastAsia="Times New Roman" w:cs="Times New Roman"/>
          <w:sz w:val="28"/>
          <w:szCs w:val="28"/>
          <w:vertAlign w:val="superscript"/>
          <w:lang w:val="ru-RU"/>
        </w:rPr>
        <w:footnoteReference w:id="2"/>
      </w:r>
      <w:r>
        <w:rPr>
          <w:rStyle w:val="Ninguno"/>
          <w:rFonts w:ascii="Times New Roman" w:hAnsi="Times New Roman"/>
          <w:sz w:val="28"/>
          <w:szCs w:val="28"/>
        </w:rPr>
        <w:t>,</w:t>
      </w:r>
    </w:p>
    <w:p w:rsidR="00FA42E8" w:rsidP="00FA42E8" w:rsidRDefault="00FA42E8">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BELGRADE</w:t>
      </w:r>
      <w:r>
        <w:rPr>
          <w:rStyle w:val="Ninguno"/>
          <w:rFonts w:ascii="Times New Roman" w:hAnsi="Times New Roman" w:eastAsia="Times New Roman" w:cs="Times New Roman"/>
          <w:sz w:val="28"/>
          <w:szCs w:val="28"/>
        </w:rPr>
        <w:tab/>
        <w:t xml:space="preserve"> - || - </w:t>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 xml:space="preserve"> </w:t>
      </w:r>
      <w:r>
        <w:rPr>
          <w:rStyle w:val="Ninguno"/>
          <w:rFonts w:ascii="Times New Roman" w:hAnsi="Times New Roman"/>
          <w:sz w:val="28"/>
          <w:szCs w:val="28"/>
        </w:rPr>
        <w:t xml:space="preserve">TO </w:t>
      </w:r>
      <w:proofErr w:type="gramStart"/>
      <w:r>
        <w:rPr>
          <w:rStyle w:val="Ninguno"/>
          <w:rFonts w:ascii="Times New Roman" w:hAnsi="Times New Roman"/>
          <w:sz w:val="28"/>
          <w:szCs w:val="28"/>
        </w:rPr>
        <w:t>LAVRIENTIEV</w:t>
      </w:r>
      <w:r>
        <w:rPr>
          <w:rStyle w:val="Ninguno"/>
          <w:rFonts w:ascii="Times New Roman" w:hAnsi="Times New Roman"/>
          <w:sz w:val="28"/>
          <w:szCs w:val="28"/>
          <w:vertAlign w:val="superscript"/>
        </w:rPr>
        <w:t xml:space="preserve"> </w:t>
      </w:r>
      <w:proofErr w:type="gramEnd"/>
      <w:r>
        <w:rPr>
          <w:rStyle w:val="Ninguno"/>
          <w:rFonts w:ascii="Times New Roman" w:hAnsi="Times New Roman" w:eastAsia="Times New Roman" w:cs="Times New Roman"/>
          <w:sz w:val="28"/>
          <w:szCs w:val="28"/>
          <w:vertAlign w:val="superscript"/>
          <w:lang w:val="ru-RU"/>
        </w:rPr>
        <w:footnoteReference w:id="3"/>
      </w:r>
      <w:r>
        <w:rPr>
          <w:rStyle w:val="Ninguno"/>
          <w:rFonts w:ascii="Times New Roman" w:hAnsi="Times New Roman"/>
          <w:sz w:val="28"/>
          <w:szCs w:val="28"/>
        </w:rPr>
        <w:t>.</w:t>
      </w:r>
    </w:p>
    <w:p w:rsidR="00FA42E8" w:rsidP="00FA42E8" w:rsidRDefault="00FA42E8">
      <w:pPr>
        <w:pStyle w:val="CuerpoA"/>
        <w:spacing w:line="360" w:lineRule="auto"/>
        <w:jc w:val="both"/>
        <w:rPr>
          <w:rFonts w:ascii="Times New Roman" w:hAnsi="Times New Roman" w:eastAsia="Times New Roman" w:cs="Times New Roman"/>
          <w:sz w:val="28"/>
          <w:szCs w:val="28"/>
        </w:rPr>
      </w:pPr>
    </w:p>
    <w:p w:rsidR="00FA42E8" w:rsidP="00FA42E8" w:rsidRDefault="00FA42E8">
      <w:pPr>
        <w:pStyle w:val="CuerpoB"/>
        <w:widowControl w:val="0"/>
        <w:spacing w:line="360" w:lineRule="auto"/>
        <w:ind w:firstLine="340"/>
        <w:jc w:val="both"/>
        <w:rPr>
          <w:rStyle w:val="Ninguno"/>
          <w:sz w:val="28"/>
          <w:szCs w:val="28"/>
        </w:rPr>
      </w:pPr>
      <w:r>
        <w:rPr>
          <w:rStyle w:val="Ninguno"/>
          <w:sz w:val="28"/>
          <w:szCs w:val="28"/>
        </w:rPr>
        <w:t xml:space="preserve">Submit personally (to </w:t>
      </w:r>
      <w:proofErr w:type="spellStart"/>
      <w:r>
        <w:rPr>
          <w:rStyle w:val="Ninguno"/>
          <w:sz w:val="28"/>
          <w:szCs w:val="28"/>
        </w:rPr>
        <w:t>Bierut</w:t>
      </w:r>
      <w:proofErr w:type="spellEnd"/>
      <w:r>
        <w:rPr>
          <w:rStyle w:val="Ninguno"/>
          <w:sz w:val="28"/>
          <w:szCs w:val="28"/>
          <w:vertAlign w:val="superscript"/>
        </w:rPr>
        <w:footnoteReference w:id="4"/>
      </w:r>
      <w:r>
        <w:rPr>
          <w:rStyle w:val="Ninguno"/>
          <w:sz w:val="28"/>
          <w:szCs w:val="28"/>
        </w:rPr>
        <w:t xml:space="preserve">, </w:t>
      </w:r>
      <w:proofErr w:type="spellStart"/>
      <w:r>
        <w:rPr>
          <w:rStyle w:val="Ninguno"/>
          <w:sz w:val="28"/>
          <w:szCs w:val="28"/>
        </w:rPr>
        <w:t>Gottwald</w:t>
      </w:r>
      <w:proofErr w:type="spellEnd"/>
      <w:r>
        <w:rPr>
          <w:rStyle w:val="Ninguno"/>
          <w:sz w:val="28"/>
          <w:szCs w:val="28"/>
          <w:vertAlign w:val="superscript"/>
        </w:rPr>
        <w:footnoteReference w:id="5"/>
      </w:r>
      <w:r>
        <w:rPr>
          <w:rStyle w:val="Ninguno"/>
          <w:sz w:val="28"/>
          <w:szCs w:val="28"/>
        </w:rPr>
        <w:t xml:space="preserve"> and Tito)</w:t>
      </w:r>
    </w:p>
    <w:p w:rsidR="00FA42E8" w:rsidP="00FA42E8" w:rsidRDefault="00FA42E8">
      <w:pPr>
        <w:pStyle w:val="CuerpoB"/>
        <w:widowControl w:val="0"/>
        <w:tabs>
          <w:tab w:val="left" w:pos="720"/>
        </w:tabs>
        <w:spacing w:line="360" w:lineRule="auto"/>
        <w:ind w:left="720" w:firstLine="9"/>
        <w:jc w:val="both"/>
        <w:rPr>
          <w:rStyle w:val="Ninguno"/>
          <w:sz w:val="28"/>
          <w:szCs w:val="28"/>
        </w:rPr>
      </w:pPr>
      <w:r>
        <w:rPr>
          <w:rStyle w:val="Ninguno"/>
          <w:sz w:val="28"/>
          <w:szCs w:val="28"/>
        </w:rPr>
        <w:t>1)</w:t>
      </w:r>
      <w:r>
        <w:rPr>
          <w:rStyle w:val="Ninguno"/>
          <w:sz w:val="28"/>
          <w:szCs w:val="28"/>
        </w:rPr>
        <w:tab/>
        <w:t>We have accepted Britain and France’s invitation for the USSR to participate at the meeting of the three ministers concerning the US’s assistance to European countries.</w:t>
      </w:r>
    </w:p>
    <w:p w:rsidR="00FA42E8" w:rsidP="00FA42E8" w:rsidRDefault="00FA42E8">
      <w:pPr>
        <w:pStyle w:val="CuerpoB"/>
        <w:widowControl w:val="0"/>
        <w:spacing w:line="360" w:lineRule="auto"/>
        <w:ind w:left="720" w:firstLine="9"/>
        <w:jc w:val="both"/>
        <w:rPr>
          <w:rStyle w:val="Ninguno"/>
          <w:sz w:val="28"/>
          <w:szCs w:val="28"/>
        </w:rPr>
      </w:pPr>
      <w:r>
        <w:rPr>
          <w:rStyle w:val="Ninguno"/>
          <w:sz w:val="28"/>
          <w:szCs w:val="28"/>
        </w:rPr>
        <w:t>2)</w:t>
      </w:r>
      <w:r>
        <w:rPr>
          <w:rStyle w:val="Ninguno"/>
          <w:sz w:val="28"/>
          <w:szCs w:val="28"/>
        </w:rPr>
        <w:tab/>
        <w:t>At this meeting, we will insist that other allied European countries should be involved in the development of corresponding economic measures (Poland, Yugoslavia, Czechoslovakia, Norway, Belgium, the Netherlands and Luxembourg), as they have suffered German occupation and assisted the attainment of victory over Germany. However, we will object to the involvement of former satellites, including Austria, and of the former neutral countries.</w:t>
      </w:r>
    </w:p>
    <w:p w:rsidR="00FA42E8" w:rsidP="00FA42E8" w:rsidRDefault="00FA42E8">
      <w:pPr>
        <w:pStyle w:val="CuerpoB"/>
        <w:widowControl w:val="0"/>
        <w:spacing w:line="360" w:lineRule="auto"/>
        <w:ind w:left="720" w:firstLine="9"/>
        <w:jc w:val="both"/>
        <w:rPr>
          <w:rStyle w:val="Ninguno"/>
          <w:sz w:val="28"/>
          <w:szCs w:val="28"/>
        </w:rPr>
      </w:pPr>
      <w:r>
        <w:rPr>
          <w:rStyle w:val="Ninguno"/>
          <w:sz w:val="28"/>
          <w:szCs w:val="28"/>
        </w:rPr>
        <w:lastRenderedPageBreak/>
        <w:t>3)</w:t>
      </w:r>
      <w:r>
        <w:rPr>
          <w:rStyle w:val="Ninguno"/>
          <w:sz w:val="28"/>
          <w:szCs w:val="28"/>
        </w:rPr>
        <w:tab/>
        <w:t>We consider it desirable for friendly allied countries to take the initiative with their participation in the development of the specified economic activities, and declare their intentions, keeping in mind that some European countries (the Netherlands and Belgium) have already expressed such desires.</w:t>
      </w:r>
    </w:p>
    <w:p w:rsidR="00FA42E8" w:rsidP="00FA42E8" w:rsidRDefault="00FA42E8">
      <w:pPr>
        <w:pStyle w:val="CuerpoB"/>
        <w:widowControl w:val="0"/>
        <w:spacing w:line="360" w:lineRule="auto"/>
        <w:ind w:firstLine="340"/>
        <w:jc w:val="both"/>
        <w:rPr>
          <w:rStyle w:val="Ninguno"/>
          <w:sz w:val="28"/>
          <w:szCs w:val="28"/>
        </w:rPr>
      </w:pPr>
      <w:r>
        <w:rPr>
          <w:rStyle w:val="Ninguno"/>
          <w:sz w:val="28"/>
          <w:szCs w:val="28"/>
        </w:rPr>
        <w:t xml:space="preserve">                            Please telegraph on execution.</w:t>
      </w:r>
    </w:p>
    <w:p w:rsidR="00FA42E8" w:rsidP="00FA42E8" w:rsidRDefault="00FA42E8">
      <w:pPr>
        <w:pStyle w:val="CuerpoB"/>
        <w:widowControl w:val="0"/>
        <w:spacing w:line="360" w:lineRule="auto"/>
        <w:ind w:firstLine="340"/>
        <w:jc w:val="both"/>
        <w:rPr>
          <w:rStyle w:val="Ninguno"/>
          <w:sz w:val="28"/>
          <w:szCs w:val="28"/>
        </w:rPr>
      </w:pPr>
      <w:r>
        <w:rPr>
          <w:rStyle w:val="Ninguno"/>
          <w:sz w:val="28"/>
          <w:szCs w:val="28"/>
        </w:rPr>
        <w:t>June, 22, 1947.</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 xml:space="preserve"> MOLOTOV.</w:t>
      </w:r>
    </w:p>
    <w:p w:rsidR="00FA42E8" w:rsidP="00FA42E8" w:rsidRDefault="00FA42E8">
      <w:pPr>
        <w:pStyle w:val="CuerpoB"/>
        <w:widowControl w:val="0"/>
        <w:spacing w:line="360" w:lineRule="auto"/>
        <w:ind w:firstLine="340"/>
        <w:jc w:val="both"/>
        <w:rPr>
          <w:sz w:val="28"/>
          <w:szCs w:val="28"/>
        </w:rPr>
      </w:pPr>
    </w:p>
    <w:p w:rsidR="00FA42E8" w:rsidP="00FA42E8" w:rsidRDefault="00FA42E8">
      <w:pPr>
        <w:pStyle w:val="CuerpoB"/>
        <w:widowControl w:val="0"/>
        <w:spacing w:line="360" w:lineRule="auto"/>
        <w:ind w:firstLine="340"/>
        <w:jc w:val="both"/>
        <w:rPr>
          <w:rStyle w:val="Ninguno"/>
          <w:sz w:val="28"/>
          <w:szCs w:val="28"/>
        </w:rPr>
      </w:pPr>
      <w:r>
        <w:rPr>
          <w:rStyle w:val="Ninguno"/>
          <w:sz w:val="28"/>
          <w:szCs w:val="28"/>
        </w:rPr>
        <w:t>Copies for Comrades Stalin, Molotov and the 10</w:t>
      </w:r>
      <w:r>
        <w:rPr>
          <w:rStyle w:val="Ninguno"/>
          <w:sz w:val="28"/>
          <w:szCs w:val="28"/>
          <w:vertAlign w:val="superscript"/>
        </w:rPr>
        <w:t>th</w:t>
      </w:r>
      <w:r>
        <w:rPr>
          <w:rStyle w:val="Ninguno"/>
          <w:sz w:val="28"/>
          <w:szCs w:val="28"/>
        </w:rPr>
        <w:t xml:space="preserve"> department.</w:t>
      </w:r>
    </w:p>
    <w:p w:rsidR="00FA42E8" w:rsidP="00FA42E8" w:rsidRDefault="00FA42E8">
      <w:pPr>
        <w:pStyle w:val="CuerpoB"/>
        <w:widowControl w:val="0"/>
        <w:spacing w:line="360" w:lineRule="auto"/>
        <w:ind w:firstLine="340"/>
        <w:jc w:val="both"/>
        <w:rPr>
          <w:rStyle w:val="Ninguno"/>
          <w:sz w:val="28"/>
          <w:szCs w:val="28"/>
        </w:rPr>
      </w:pPr>
      <w:proofErr w:type="spellStart"/>
      <w:r>
        <w:rPr>
          <w:rStyle w:val="Ninguno"/>
          <w:sz w:val="28"/>
          <w:szCs w:val="28"/>
        </w:rPr>
        <w:t>Familiarise</w:t>
      </w:r>
      <w:proofErr w:type="spellEnd"/>
      <w:r>
        <w:rPr>
          <w:rStyle w:val="Ninguno"/>
          <w:sz w:val="28"/>
          <w:szCs w:val="28"/>
        </w:rPr>
        <w:t xml:space="preserve"> Comrades </w:t>
      </w:r>
      <w:proofErr w:type="spellStart"/>
      <w:r>
        <w:rPr>
          <w:rStyle w:val="Ninguno"/>
          <w:sz w:val="28"/>
          <w:szCs w:val="28"/>
        </w:rPr>
        <w:t>Vyshinsky</w:t>
      </w:r>
      <w:proofErr w:type="spellEnd"/>
      <w:r>
        <w:rPr>
          <w:rStyle w:val="Ninguno"/>
          <w:sz w:val="28"/>
          <w:szCs w:val="28"/>
        </w:rPr>
        <w:t>, Malik</w:t>
      </w:r>
      <w:r>
        <w:rPr>
          <w:rStyle w:val="Ninguno"/>
          <w:sz w:val="28"/>
          <w:szCs w:val="28"/>
          <w:vertAlign w:val="superscript"/>
        </w:rPr>
        <w:footnoteReference w:id="6"/>
      </w:r>
      <w:r>
        <w:rPr>
          <w:rStyle w:val="Ninguno"/>
          <w:sz w:val="28"/>
          <w:szCs w:val="28"/>
        </w:rPr>
        <w:t xml:space="preserve">, </w:t>
      </w:r>
      <w:proofErr w:type="spellStart"/>
      <w:r>
        <w:rPr>
          <w:rStyle w:val="Ninguno"/>
          <w:sz w:val="28"/>
          <w:szCs w:val="28"/>
        </w:rPr>
        <w:t>Zorin</w:t>
      </w:r>
      <w:proofErr w:type="spellEnd"/>
      <w:r>
        <w:rPr>
          <w:rStyle w:val="Ninguno"/>
          <w:sz w:val="28"/>
          <w:szCs w:val="28"/>
          <w:vertAlign w:val="superscript"/>
        </w:rPr>
        <w:footnoteReference w:id="7"/>
      </w:r>
      <w:r>
        <w:rPr>
          <w:rStyle w:val="Ninguno"/>
          <w:sz w:val="28"/>
          <w:szCs w:val="28"/>
        </w:rPr>
        <w:t xml:space="preserve"> and </w:t>
      </w:r>
      <w:proofErr w:type="spellStart"/>
      <w:r>
        <w:rPr>
          <w:rStyle w:val="Ninguno"/>
          <w:sz w:val="28"/>
          <w:szCs w:val="28"/>
        </w:rPr>
        <w:t>Bogomolov</w:t>
      </w:r>
      <w:proofErr w:type="spellEnd"/>
      <w:r>
        <w:rPr>
          <w:rStyle w:val="Ninguno"/>
          <w:sz w:val="28"/>
          <w:szCs w:val="28"/>
          <w:vertAlign w:val="superscript"/>
        </w:rPr>
        <w:footnoteReference w:id="8"/>
      </w:r>
      <w:r>
        <w:rPr>
          <w:rStyle w:val="Ninguno"/>
          <w:sz w:val="28"/>
          <w:szCs w:val="28"/>
        </w:rPr>
        <w:t>.</w:t>
      </w:r>
    </w:p>
    <w:p w:rsidR="00FA42E8" w:rsidP="00FA42E8" w:rsidRDefault="00FA42E8">
      <w:pPr>
        <w:pStyle w:val="CuerpoB"/>
        <w:widowControl w:val="0"/>
        <w:spacing w:line="360" w:lineRule="auto"/>
        <w:ind w:firstLine="340"/>
        <w:jc w:val="both"/>
        <w:rPr>
          <w:sz w:val="28"/>
          <w:szCs w:val="28"/>
        </w:rPr>
      </w:pPr>
    </w:p>
    <w:p w:rsidR="00FA42E8" w:rsidP="00FA42E8" w:rsidRDefault="00FA42E8">
      <w:pPr>
        <w:pStyle w:val="CuerpoB"/>
        <w:widowControl w:val="0"/>
        <w:spacing w:line="360" w:lineRule="auto"/>
        <w:jc w:val="both"/>
        <w:rPr>
          <w:rStyle w:val="Ninguno"/>
          <w:sz w:val="28"/>
          <w:szCs w:val="28"/>
        </w:rPr>
      </w:pPr>
      <w:r>
        <w:rPr>
          <w:rStyle w:val="Ninguno"/>
          <w:sz w:val="28"/>
          <w:szCs w:val="28"/>
        </w:rPr>
        <w:t>[FPARF, f. 06, inv. 9, fold. 18, file 214, p. 19]</w:t>
      </w:r>
    </w:p>
    <w:p w:rsidR="00FA42E8" w:rsidP="00FA42E8" w:rsidRDefault="00FA42E8">
      <w:pPr>
        <w:pStyle w:val="CuerpoB"/>
        <w:widowControl w:val="0"/>
        <w:spacing w:line="360" w:lineRule="auto"/>
        <w:jc w:val="both"/>
        <w:rPr>
          <w:sz w:val="28"/>
          <w:szCs w:val="28"/>
        </w:rPr>
      </w:pPr>
    </w:p>
    <w:p w:rsidR="00FA42E8" w:rsidP="00FA42E8" w:rsidRDefault="00FA42E8">
      <w:pPr>
        <w:pStyle w:val="CuerpoB"/>
        <w:widowControl w:val="0"/>
        <w:spacing w:line="360" w:lineRule="auto"/>
        <w:jc w:val="both"/>
        <w:rPr>
          <w:rStyle w:val="Ninguno"/>
          <w:sz w:val="28"/>
          <w:szCs w:val="28"/>
        </w:rPr>
      </w:pPr>
      <w:r>
        <w:rPr>
          <w:rStyle w:val="Ninguno"/>
          <w:sz w:val="28"/>
          <w:szCs w:val="28"/>
        </w:rPr>
        <w:t>Keywords: post-war Eastern Europe, post-war Western Europe</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E8" w:rsidRDefault="00FA42E8" w:rsidP="00FA42E8">
      <w:pPr>
        <w:spacing w:after="0" w:line="240" w:lineRule="auto"/>
      </w:pPr>
      <w:r>
        <w:separator/>
      </w:r>
    </w:p>
  </w:endnote>
  <w:endnote w:type="continuationSeparator" w:id="0">
    <w:p w:rsidR="00FA42E8" w:rsidRDefault="00FA42E8" w:rsidP="00FA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E8" w:rsidRDefault="00FA42E8" w:rsidP="00FA42E8">
      <w:pPr>
        <w:spacing w:after="0" w:line="240" w:lineRule="auto"/>
      </w:pPr>
      <w:r>
        <w:separator/>
      </w:r>
    </w:p>
  </w:footnote>
  <w:footnote w:type="continuationSeparator" w:id="0">
    <w:p w:rsidR="00FA42E8" w:rsidRDefault="00FA42E8" w:rsidP="00FA42E8">
      <w:pPr>
        <w:spacing w:after="0" w:line="240" w:lineRule="auto"/>
      </w:pPr>
      <w:r>
        <w:continuationSeparator/>
      </w:r>
    </w:p>
  </w:footnote>
  <w:footnote w:id="1">
    <w:p w:rsidR="00FA42E8" w:rsidRDefault="00FA42E8" w:rsidP="00FA42E8">
      <w:pPr>
        <w:pStyle w:val="FootnoteText"/>
      </w:pPr>
      <w:r>
        <w:rPr>
          <w:rStyle w:val="EndnoteReference"/>
        </w:rPr>
        <w:footnoteRef/>
      </w:r>
      <w:r>
        <w:rPr>
          <w:rStyle w:val="PageNumber"/>
        </w:rPr>
        <w:t xml:space="preserve"> </w:t>
      </w:r>
      <w:proofErr w:type="spellStart"/>
      <w:r>
        <w:rPr>
          <w:rStyle w:val="PageNumber"/>
        </w:rPr>
        <w:t>Lebedev</w:t>
      </w:r>
      <w:proofErr w:type="spellEnd"/>
      <w:r>
        <w:rPr>
          <w:rStyle w:val="PageNumber"/>
        </w:rPr>
        <w:t xml:space="preserve">, Victor </w:t>
      </w:r>
      <w:proofErr w:type="spellStart"/>
      <w:r>
        <w:rPr>
          <w:rStyle w:val="PageNumber"/>
        </w:rPr>
        <w:t>Zakharovich</w:t>
      </w:r>
      <w:proofErr w:type="spellEnd"/>
      <w:r>
        <w:rPr>
          <w:rStyle w:val="PageNumber"/>
        </w:rPr>
        <w:t xml:space="preserve"> (1900-1968) - Soviet diplomat. Soviet ambassador to London (1943-1945), Soviet ambassador to Poland (1945-1951), Soviet ambassador to Finland (1954-1958).</w:t>
      </w:r>
    </w:p>
  </w:footnote>
  <w:footnote w:id="2">
    <w:p w:rsidR="00FA42E8" w:rsidRDefault="00FA42E8" w:rsidP="00FA42E8">
      <w:pPr>
        <w:pStyle w:val="FootnoteText"/>
        <w:jc w:val="both"/>
      </w:pPr>
      <w:r>
        <w:rPr>
          <w:rStyle w:val="Ninguno"/>
          <w:vertAlign w:val="superscript"/>
          <w:lang w:val="ru-RU"/>
        </w:rPr>
        <w:footnoteRef/>
      </w:r>
      <w:r>
        <w:rPr>
          <w:rStyle w:val="Ninguno"/>
        </w:rPr>
        <w:t xml:space="preserve"> </w:t>
      </w:r>
      <w:proofErr w:type="spellStart"/>
      <w:r>
        <w:rPr>
          <w:rStyle w:val="Ninguno"/>
        </w:rPr>
        <w:t>Bodrov</w:t>
      </w:r>
      <w:proofErr w:type="spellEnd"/>
      <w:r>
        <w:rPr>
          <w:rStyle w:val="Ninguno"/>
        </w:rPr>
        <w:t xml:space="preserve">, Mikhail </w:t>
      </w:r>
      <w:proofErr w:type="spellStart"/>
      <w:r>
        <w:rPr>
          <w:rStyle w:val="Ninguno"/>
        </w:rPr>
        <w:t>Fyodorovich</w:t>
      </w:r>
      <w:proofErr w:type="spellEnd"/>
      <w:r>
        <w:rPr>
          <w:rStyle w:val="Ninguno"/>
        </w:rPr>
        <w:t xml:space="preserve"> (1903–1988) - Soviet diplomat. Counsellor at the Embassy of the USSR in Czechoslovakia (1946–1948), Soviet Ambassador to Bulgaria (1948–1954), Deputy Head of the Ministry of Foreign Affairs of the USSR (1954–1958), Soviet Ambassador to Israel (1958–1964), Soviet Ambassador to Kuwait (1966–1970).</w:t>
      </w:r>
    </w:p>
  </w:footnote>
  <w:footnote w:id="3">
    <w:p w:rsidR="00FA42E8" w:rsidRDefault="00FA42E8" w:rsidP="00FA42E8">
      <w:pPr>
        <w:pStyle w:val="FootnoteText"/>
        <w:jc w:val="both"/>
      </w:pPr>
      <w:r>
        <w:rPr>
          <w:rStyle w:val="Ninguno"/>
          <w:vertAlign w:val="superscript"/>
          <w:lang w:val="ru-RU"/>
        </w:rPr>
        <w:footnoteRef/>
      </w:r>
      <w:r>
        <w:rPr>
          <w:rStyle w:val="Ninguno"/>
        </w:rPr>
        <w:t xml:space="preserve"> </w:t>
      </w:r>
      <w:proofErr w:type="spellStart"/>
      <w:r>
        <w:rPr>
          <w:lang w:val="en-US"/>
        </w:rPr>
        <w:t>Lavrentiev</w:t>
      </w:r>
      <w:proofErr w:type="spellEnd"/>
      <w:r>
        <w:rPr>
          <w:lang w:val="en-US"/>
        </w:rPr>
        <w:t xml:space="preserve">, </w:t>
      </w:r>
      <w:r>
        <w:rPr>
          <w:rStyle w:val="Ninguno"/>
        </w:rPr>
        <w:t xml:space="preserve">Anatoly </w:t>
      </w:r>
      <w:proofErr w:type="spellStart"/>
      <w:r>
        <w:rPr>
          <w:rStyle w:val="Ninguno"/>
        </w:rPr>
        <w:t>Iosifovich</w:t>
      </w:r>
      <w:proofErr w:type="spellEnd"/>
      <w:r>
        <w:rPr>
          <w:rStyle w:val="Ninguno"/>
        </w:rPr>
        <w:t xml:space="preserve"> (1904–1986) - Soviet diplomat. USSR People’s Commissar for Foreign Affairs (1944–1946), Soviet Ambassador to Yugoslavia (1946–1949), Deputy Minister for Foreign Affairs of the USSR (1949–1951), Soviet Ambassador to Czechoslovakia (1951–1952), Soviet Ambassador to Romania (1952–1953), </w:t>
      </w:r>
      <w:proofErr w:type="gramStart"/>
      <w:r>
        <w:rPr>
          <w:rStyle w:val="Ninguno"/>
        </w:rPr>
        <w:t>Soviet</w:t>
      </w:r>
      <w:proofErr w:type="gramEnd"/>
      <w:r>
        <w:rPr>
          <w:rStyle w:val="Ninguno"/>
        </w:rPr>
        <w:t xml:space="preserve"> Ambassador to Iran (1953–1956).</w:t>
      </w:r>
    </w:p>
  </w:footnote>
  <w:footnote w:id="4">
    <w:p w:rsidR="00FA42E8" w:rsidRDefault="00FA42E8" w:rsidP="00FA42E8">
      <w:pPr>
        <w:pStyle w:val="FootnoteText"/>
      </w:pPr>
      <w:r>
        <w:rPr>
          <w:rStyle w:val="EndnoteReference"/>
        </w:rPr>
        <w:footnoteRef/>
      </w:r>
      <w:r>
        <w:rPr>
          <w:rStyle w:val="PageNumber"/>
        </w:rPr>
        <w:t xml:space="preserve"> </w:t>
      </w:r>
      <w:proofErr w:type="spellStart"/>
      <w:r>
        <w:rPr>
          <w:lang w:val="en-US"/>
        </w:rPr>
        <w:t>Bierut</w:t>
      </w:r>
      <w:proofErr w:type="spellEnd"/>
      <w:r>
        <w:rPr>
          <w:lang w:val="en-US"/>
        </w:rPr>
        <w:t xml:space="preserve">, </w:t>
      </w:r>
      <w:proofErr w:type="spellStart"/>
      <w:r>
        <w:rPr>
          <w:rStyle w:val="PageNumber"/>
        </w:rPr>
        <w:t>Bolesław</w:t>
      </w:r>
      <w:proofErr w:type="spellEnd"/>
      <w:r>
        <w:rPr>
          <w:rStyle w:val="PageNumber"/>
        </w:rPr>
        <w:t xml:space="preserve"> (1892-1956) - Polish party leader and statesman. Head of the State National Council (</w:t>
      </w:r>
      <w:proofErr w:type="spellStart"/>
      <w:r>
        <w:rPr>
          <w:rStyle w:val="PageNumber"/>
        </w:rPr>
        <w:t>Krajowa</w:t>
      </w:r>
      <w:proofErr w:type="spellEnd"/>
      <w:r>
        <w:rPr>
          <w:rStyle w:val="PageNumber"/>
        </w:rPr>
        <w:t xml:space="preserve"> Rada </w:t>
      </w:r>
      <w:proofErr w:type="spellStart"/>
      <w:r>
        <w:rPr>
          <w:rStyle w:val="PageNumber"/>
        </w:rPr>
        <w:t>Narodowa</w:t>
      </w:r>
      <w:proofErr w:type="spellEnd"/>
      <w:r>
        <w:rPr>
          <w:rStyle w:val="PageNumber"/>
        </w:rPr>
        <w:t>) (1944 - 1947), President and then Chairman of the State Council of the People's Republic of Poland (1947 - 1952), Polish Prime Minister (1952 - 1954).</w:t>
      </w:r>
    </w:p>
  </w:footnote>
  <w:footnote w:id="5">
    <w:p w:rsidR="00FA42E8" w:rsidRDefault="00FA42E8" w:rsidP="00FA42E8">
      <w:pPr>
        <w:pStyle w:val="FootnoteText"/>
      </w:pPr>
      <w:r>
        <w:rPr>
          <w:rStyle w:val="EndnoteReference"/>
        </w:rPr>
        <w:footnoteRef/>
      </w:r>
      <w:r>
        <w:rPr>
          <w:rStyle w:val="PageNumber"/>
        </w:rPr>
        <w:t xml:space="preserve"> </w:t>
      </w:r>
      <w:proofErr w:type="spellStart"/>
      <w:r>
        <w:rPr>
          <w:lang w:val="en-US"/>
        </w:rPr>
        <w:t>Gottwald</w:t>
      </w:r>
      <w:proofErr w:type="spellEnd"/>
      <w:r>
        <w:rPr>
          <w:lang w:val="en-US"/>
        </w:rPr>
        <w:t xml:space="preserve">, </w:t>
      </w:r>
      <w:proofErr w:type="spellStart"/>
      <w:r>
        <w:rPr>
          <w:rStyle w:val="PageNumber"/>
        </w:rPr>
        <w:t>Klement</w:t>
      </w:r>
      <w:proofErr w:type="spellEnd"/>
      <w:r>
        <w:rPr>
          <w:rStyle w:val="PageNumber"/>
        </w:rPr>
        <w:t xml:space="preserve"> (1896-1953) - Czechoslovak party leader and statesman. Head of the Communist party of Czechoslovakia, Czechoslovak Prime Minister (in the Government of the People's Front, 1942 -1945), President of Czechoslovakia (1948 - 1953).</w:t>
      </w:r>
    </w:p>
  </w:footnote>
  <w:footnote w:id="6">
    <w:p w:rsidR="00FA42E8" w:rsidRDefault="00FA42E8" w:rsidP="00FA42E8">
      <w:pPr>
        <w:pStyle w:val="FootnoteText"/>
      </w:pPr>
      <w:r>
        <w:rPr>
          <w:rStyle w:val="EndnoteReference"/>
        </w:rPr>
        <w:footnoteRef/>
      </w:r>
      <w:r>
        <w:rPr>
          <w:rStyle w:val="PageNumber"/>
        </w:rPr>
        <w:t xml:space="preserve"> </w:t>
      </w:r>
      <w:r>
        <w:rPr>
          <w:lang w:val="en-US"/>
        </w:rPr>
        <w:t xml:space="preserve">Malik, </w:t>
      </w:r>
      <w:proofErr w:type="spellStart"/>
      <w:r>
        <w:rPr>
          <w:rStyle w:val="PageNumber"/>
        </w:rPr>
        <w:t>Yakov</w:t>
      </w:r>
      <w:proofErr w:type="spellEnd"/>
      <w:r>
        <w:rPr>
          <w:rStyle w:val="PageNumber"/>
        </w:rPr>
        <w:t xml:space="preserve"> </w:t>
      </w:r>
      <w:proofErr w:type="spellStart"/>
      <w:r>
        <w:rPr>
          <w:rStyle w:val="PageNumber"/>
        </w:rPr>
        <w:t>Aleksandrovich</w:t>
      </w:r>
      <w:proofErr w:type="spellEnd"/>
      <w:r>
        <w:rPr>
          <w:rStyle w:val="PageNumber"/>
        </w:rPr>
        <w:t xml:space="preserve"> (1906-1980) - Soviet diplomat and statesman. Soviet ambassador to Japan (1942-1945), political consultant to the Allied Council in Japan (1946), Deputy Foreign Minister of the USSR (1946) and the Permanent Representative of the USSR to the UN (1948-1952), Soviet ambassador to the UK (1953-1960).</w:t>
      </w:r>
    </w:p>
  </w:footnote>
  <w:footnote w:id="7">
    <w:p w:rsidR="00FA42E8" w:rsidRDefault="00FA42E8" w:rsidP="00FA42E8">
      <w:pPr>
        <w:pStyle w:val="FootnoteText"/>
      </w:pPr>
      <w:r>
        <w:rPr>
          <w:rStyle w:val="EndnoteReference"/>
        </w:rPr>
        <w:footnoteRef/>
      </w:r>
      <w:r>
        <w:rPr>
          <w:rStyle w:val="PageNumber"/>
        </w:rPr>
        <w:t xml:space="preserve"> </w:t>
      </w:r>
      <w:proofErr w:type="spellStart"/>
      <w:r>
        <w:rPr>
          <w:rStyle w:val="PageNumber"/>
        </w:rPr>
        <w:t>Zorin</w:t>
      </w:r>
      <w:proofErr w:type="spellEnd"/>
      <w:r>
        <w:rPr>
          <w:rStyle w:val="PageNumber"/>
        </w:rPr>
        <w:t xml:space="preserve">, </w:t>
      </w:r>
      <w:r>
        <w:rPr>
          <w:lang w:val="en-US"/>
        </w:rPr>
        <w:t xml:space="preserve">Valerian </w:t>
      </w:r>
      <w:proofErr w:type="spellStart"/>
      <w:r>
        <w:rPr>
          <w:lang w:val="en-US"/>
        </w:rPr>
        <w:t>Aleksandrovich</w:t>
      </w:r>
      <w:proofErr w:type="spellEnd"/>
      <w:r>
        <w:rPr>
          <w:rStyle w:val="PageNumber"/>
        </w:rPr>
        <w:t xml:space="preserve"> (1920-1986) - Soviet Diplomat and statesman. Soviet ambassador to Czechoslovakia (1945-1947), Deputy Foreign Minister of the USSR (1947-1955), Permanent Representative of the USSR to the UN (1952-1953).</w:t>
      </w:r>
    </w:p>
  </w:footnote>
  <w:footnote w:id="8">
    <w:p w:rsidR="00FA42E8" w:rsidRDefault="00FA42E8" w:rsidP="00FA42E8">
      <w:pPr>
        <w:pStyle w:val="FootnoteText"/>
      </w:pPr>
      <w:r>
        <w:rPr>
          <w:rStyle w:val="EndnoteReference"/>
        </w:rPr>
        <w:footnoteRef/>
      </w:r>
      <w:r>
        <w:rPr>
          <w:rStyle w:val="PageNumber"/>
        </w:rPr>
        <w:t xml:space="preserve"> </w:t>
      </w:r>
      <w:proofErr w:type="spellStart"/>
      <w:r>
        <w:rPr>
          <w:lang w:val="en-US"/>
        </w:rPr>
        <w:t>Bogomolov</w:t>
      </w:r>
      <w:proofErr w:type="spellEnd"/>
      <w:r>
        <w:rPr>
          <w:lang w:val="en-US"/>
        </w:rPr>
        <w:t xml:space="preserve">, </w:t>
      </w:r>
      <w:proofErr w:type="spellStart"/>
      <w:r>
        <w:rPr>
          <w:rStyle w:val="PageNumber"/>
        </w:rPr>
        <w:t>Aleksandr</w:t>
      </w:r>
      <w:proofErr w:type="spellEnd"/>
      <w:r>
        <w:rPr>
          <w:rStyle w:val="PageNumber"/>
        </w:rPr>
        <w:t xml:space="preserve"> </w:t>
      </w:r>
      <w:proofErr w:type="spellStart"/>
      <w:r>
        <w:rPr>
          <w:rStyle w:val="PageNumber"/>
        </w:rPr>
        <w:t>Yefremovich</w:t>
      </w:r>
      <w:proofErr w:type="spellEnd"/>
      <w:r>
        <w:rPr>
          <w:rStyle w:val="PageNumber"/>
        </w:rPr>
        <w:t xml:space="preserve"> (1900-1969) - Soviet diplomat. Soviet ambassador to Yugoslavian Government-in-exile (1941-1943), Soviet ambassador to Czechoslovakia (1952-1954).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8"/>
    <w:rsid w:val="008B6C6F"/>
    <w:rsid w:val="00FA4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B8C82-CC3C-49CF-A943-19AD4719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FA42E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FA42E8"/>
    <w:rPr>
      <w:lang w:val="en-US"/>
    </w:rPr>
  </w:style>
  <w:style w:type="paragraph" w:styleId="FootnoteText">
    <w:name w:val="footnote text"/>
    <w:link w:val="FootnoteTextChar"/>
    <w:rsid w:val="00FA42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A42E8"/>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FA42E8"/>
    <w:rPr>
      <w:lang w:val="en-US"/>
    </w:rPr>
  </w:style>
  <w:style w:type="character" w:styleId="EndnoteReference">
    <w:name w:val="endnote reference"/>
    <w:basedOn w:val="Ninguno"/>
    <w:rsid w:val="00FA42E8"/>
    <w:rPr>
      <w:vertAlign w:val="superscript"/>
      <w:lang w:val="en-US"/>
    </w:rPr>
  </w:style>
  <w:style w:type="paragraph" w:customStyle="1" w:styleId="CuerpoB">
    <w:name w:val="Cuerpo B"/>
    <w:rsid w:val="00FA42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1947-06-22 Molotov telegram to embassies</dc:title>
  <dc:subject>
  </dc:subject>
  <dc:creator>Kozielska,MM  (ug)</dc:creator>
  <cp:keywords>
  </cp:keywords>
  <dc:description>
  </dc:description>
  <cp:lastModifiedBy>Joseph Barnsley</cp:lastModifiedBy>
  <cp:revision>1</cp:revision>
  <dcterms:created xsi:type="dcterms:W3CDTF">2016-07-12T14:23:00Z</dcterms:created>
  <dcterms:modified xsi:type="dcterms:W3CDTF">2017-07-17T14:08:06Z</dcterms:modified>
</cp:coreProperties>
</file>