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70672" w:rsidRDefault="00142E3B" w:rsidP="00CB0CBD">
      <w:pPr>
        <w:pStyle w:val="LSEpagetitle"/>
        <w:rPr>
          <w:rFonts w:ascii="Roboto"/>
          <w:sz w:val="24"/>
        </w:rPr>
        <w:sectPr w:rsidR="00C70672" w:rsidSect="00AA341E">
          <w:type w:val="continuous"/>
          <w:pgSz w:w="11910" w:h="16840"/>
          <w:pgMar w:top="2268" w:right="1134" w:bottom="1134" w:left="1134" w:header="720" w:footer="5670" w:gutter="0"/>
          <w:cols w:space="720"/>
        </w:sectPr>
      </w:pPr>
      <w:r>
        <w:rPr>
          <w:rFonts w:ascii="Roboto"/>
          <w:noProof/>
          <w:color w:val="FFFFFF" w:themeColor="background1"/>
          <w:sz w:val="24"/>
        </w:rPr>
        <mc:AlternateContent>
          <mc:Choice Requires="wps">
            <w:drawing>
              <wp:anchor distT="0" distB="0" distL="114300" distR="114300" simplePos="0" relativeHeight="251657216" behindDoc="0" locked="0" layoutInCell="1" allowOverlap="1">
                <wp:simplePos x="0" y="0"/>
                <wp:positionH relativeFrom="page">
                  <wp:posOffset>578498</wp:posOffset>
                </wp:positionH>
                <wp:positionV relativeFrom="page">
                  <wp:posOffset>3601616</wp:posOffset>
                </wp:positionV>
                <wp:extent cx="4949825" cy="6263951"/>
                <wp:effectExtent l="0" t="0" r="0" b="0"/>
                <wp:wrapNone/>
                <wp:docPr id="79" name="Text Box 79"/>
                <wp:cNvGraphicFramePr/>
                <a:graphic xmlns:a="http://schemas.openxmlformats.org/drawingml/2006/main">
                  <a:graphicData uri="http://schemas.microsoft.com/office/word/2010/wordprocessingShape">
                    <wps:wsp>
                      <wps:cNvSpPr txBox="1"/>
                      <wps:spPr>
                        <a:xfrm>
                          <a:off x="0" y="0"/>
                          <a:ext cx="4949825" cy="6263951"/>
                        </a:xfrm>
                        <a:prstGeom prst="rect">
                          <a:avLst/>
                        </a:prstGeom>
                        <a:noFill/>
                        <a:ln w="6350">
                          <a:noFill/>
                        </a:ln>
                      </wps:spPr>
                      <wps:txbx>
                        <w:txbxContent>
                          <w:p w:rsidR="00AE3684" w:rsidRDefault="00AE3684" w:rsidP="000043EA">
                            <w:pPr>
                              <w:spacing w:line="1060" w:lineRule="exact"/>
                              <w:rPr>
                                <w:rFonts w:ascii="Roboto-Black" w:hAnsi="Roboto-Black"/>
                                <w:b/>
                                <w:color w:val="D82332"/>
                                <w:sz w:val="90"/>
                                <w:szCs w:val="90"/>
                              </w:rPr>
                            </w:pPr>
                            <w:r w:rsidRPr="00142E3B">
                              <w:rPr>
                                <w:rFonts w:ascii="Roboto-Black" w:hAnsi="Roboto-Black"/>
                                <w:b/>
                                <w:color w:val="D82332"/>
                                <w:sz w:val="90"/>
                                <w:szCs w:val="90"/>
                              </w:rPr>
                              <w:t xml:space="preserve">Report on </w:t>
                            </w:r>
                            <w:r>
                              <w:rPr>
                                <w:rFonts w:ascii="Roboto-Black" w:hAnsi="Roboto-Black"/>
                                <w:b/>
                                <w:color w:val="D82332"/>
                                <w:sz w:val="90"/>
                                <w:szCs w:val="90"/>
                              </w:rPr>
                              <w:t xml:space="preserve">Current and Future </w:t>
                            </w:r>
                            <w:r w:rsidRPr="00142E3B">
                              <w:rPr>
                                <w:rFonts w:ascii="Roboto-Black" w:hAnsi="Roboto-Black"/>
                                <w:b/>
                                <w:color w:val="D82332"/>
                                <w:sz w:val="90"/>
                                <w:szCs w:val="90"/>
                              </w:rPr>
                              <w:t>Older Adult Services</w:t>
                            </w:r>
                            <w:r>
                              <w:rPr>
                                <w:rFonts w:ascii="Roboto-Black" w:hAnsi="Roboto-Black"/>
                                <w:b/>
                                <w:color w:val="D82332"/>
                                <w:sz w:val="90"/>
                                <w:szCs w:val="90"/>
                              </w:rPr>
                              <w:t xml:space="preserve"> for People with Sight Loss in Ireland</w:t>
                            </w:r>
                          </w:p>
                          <w:p w:rsidR="00AE3684" w:rsidRPr="000043EA" w:rsidRDefault="00AE3684" w:rsidP="000043EA">
                            <w:pPr>
                              <w:spacing w:line="1060" w:lineRule="exact"/>
                              <w:rPr>
                                <w:rFonts w:ascii="Roboto-Black" w:hAnsi="Roboto-Black"/>
                                <w:b/>
                                <w:color w:val="000000" w:themeColor="text1"/>
                                <w:sz w:val="50"/>
                                <w:szCs w:val="50"/>
                              </w:rPr>
                            </w:pPr>
                            <w:r w:rsidRPr="00142E3B">
                              <w:rPr>
                                <w:color w:val="1A1918"/>
                                <w:sz w:val="60"/>
                                <w:szCs w:val="60"/>
                              </w:rPr>
                              <w:t>National Council for the Blind of Ireland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9" o:spid="_x0000_s1026" type="#_x0000_t202" style="position:absolute;left:0;text-align:left;margin-left:45.55pt;margin-top:283.6pt;width:389.75pt;height:493.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" filled="f" stroked="f" strokeweight=".5pt">
                <v:textbox>
                  <w:txbxContent>
                    <w:p w:rsidR="00AE3684" w:rsidRDefault="00AE3684" w:rsidP="000043EA">
                      <w:pPr>
                        <w:spacing w:line="1060" w:lineRule="exact"/>
                        <w:rPr>
                          <w:rFonts w:ascii="Roboto-Black" w:hAnsi="Roboto-Black"/>
                          <w:b/>
                          <w:color w:val="D82332"/>
                          <w:sz w:val="90"/>
                          <w:szCs w:val="90"/>
                        </w:rPr>
                      </w:pPr>
                      <w:r w:rsidRPr="00142E3B">
                        <w:rPr>
                          <w:rFonts w:ascii="Roboto-Black" w:hAnsi="Roboto-Black"/>
                          <w:b/>
                          <w:color w:val="D82332"/>
                          <w:sz w:val="90"/>
                          <w:szCs w:val="90"/>
                        </w:rPr>
                        <w:t xml:space="preserve">Report on </w:t>
                      </w:r>
                      <w:r>
                        <w:rPr>
                          <w:rFonts w:ascii="Roboto-Black" w:hAnsi="Roboto-Black"/>
                          <w:b/>
                          <w:color w:val="D82332"/>
                          <w:sz w:val="90"/>
                          <w:szCs w:val="90"/>
                        </w:rPr>
                        <w:t xml:space="preserve">Current and Future </w:t>
                      </w:r>
                      <w:r w:rsidRPr="00142E3B">
                        <w:rPr>
                          <w:rFonts w:ascii="Roboto-Black" w:hAnsi="Roboto-Black"/>
                          <w:b/>
                          <w:color w:val="D82332"/>
                          <w:sz w:val="90"/>
                          <w:szCs w:val="90"/>
                        </w:rPr>
                        <w:t>Older Adult Services</w:t>
                      </w:r>
                      <w:r>
                        <w:rPr>
                          <w:rFonts w:ascii="Roboto-Black" w:hAnsi="Roboto-Black"/>
                          <w:b/>
                          <w:color w:val="D82332"/>
                          <w:sz w:val="90"/>
                          <w:szCs w:val="90"/>
                        </w:rPr>
                        <w:t xml:space="preserve"> for People with Sight Loss in Ireland</w:t>
                      </w:r>
                    </w:p>
                    <w:p w:rsidR="00AE3684" w:rsidRPr="000043EA" w:rsidRDefault="00AE3684" w:rsidP="000043EA">
                      <w:pPr>
                        <w:spacing w:line="1060" w:lineRule="exact"/>
                        <w:rPr>
                          <w:rFonts w:ascii="Roboto-Black" w:hAnsi="Roboto-Black"/>
                          <w:b/>
                          <w:color w:val="000000" w:themeColor="text1"/>
                          <w:sz w:val="50"/>
                          <w:szCs w:val="50"/>
                        </w:rPr>
                      </w:pPr>
                      <w:r w:rsidRPr="00142E3B">
                        <w:rPr>
                          <w:color w:val="1A1918"/>
                          <w:sz w:val="60"/>
                          <w:szCs w:val="60"/>
                        </w:rPr>
                        <w:t>National Council for the Blind of Ireland</w:t>
                      </w:r>
                    </w:p>
                  </w:txbxContent>
                </v:textbox>
                <w10:wrap anchorx="page" anchory="page"/>
              </v:shape>
            </w:pict>
          </mc:Fallback>
        </mc:AlternateContent>
      </w:r>
      <w:r w:rsidR="009919AC">
        <w:rPr>
          <w:rFonts w:ascii="Roboto"/>
          <w:noProof/>
          <w:color w:val="FFFFFF" w:themeColor="background1"/>
          <w:sz w:val="24"/>
        </w:rPr>
        <mc:AlternateContent>
          <mc:Choice Requires="wps">
            <w:drawing>
              <wp:anchor distT="0" distB="0" distL="114300" distR="114300" simplePos="0" relativeHeight="251658240" behindDoc="0" locked="0" layoutInCell="1" allowOverlap="1">
                <wp:simplePos x="0" y="0"/>
                <wp:positionH relativeFrom="column">
                  <wp:posOffset>-34290</wp:posOffset>
                </wp:positionH>
                <wp:positionV relativeFrom="paragraph">
                  <wp:posOffset>8529320</wp:posOffset>
                </wp:positionV>
                <wp:extent cx="6845300" cy="639445"/>
                <wp:effectExtent l="0" t="0" r="0" b="8255"/>
                <wp:wrapNone/>
                <wp:docPr id="86" name="Text Box 86"/>
                <wp:cNvGraphicFramePr/>
                <a:graphic xmlns:a="http://schemas.openxmlformats.org/drawingml/2006/main">
                  <a:graphicData uri="http://schemas.microsoft.com/office/word/2010/wordprocessingShape">
                    <wps:wsp>
                      <wps:cNvSpPr txBox="1"/>
                      <wps:spPr>
                        <a:xfrm>
                          <a:off x="0" y="0"/>
                          <a:ext cx="6845300" cy="639445"/>
                        </a:xfrm>
                        <a:prstGeom prst="rect">
                          <a:avLst/>
                        </a:prstGeom>
                        <a:noFill/>
                        <a:ln w="6350">
                          <a:noFill/>
                        </a:ln>
                      </wps:spPr>
                      <wps:txbx>
                        <w:txbxContent>
                          <w:p w:rsidR="00AE3684" w:rsidRPr="00C9090F" w:rsidRDefault="00AE3684" w:rsidP="006C3265">
                            <w:pPr>
                              <w:pStyle w:val="Cover-Authors"/>
                              <w:spacing w:before="100" w:beforeAutospacing="1" w:after="100" w:afterAutospacing="1"/>
                              <w:rPr>
                                <w:sz w:val="36"/>
                                <w14:textOutline w14:w="9525" w14:cap="rnd" w14:cmpd="sng" w14:algn="ctr">
                                  <w14:noFill/>
                                  <w14:prstDash w14:val="solid"/>
                                  <w14:bevel/>
                                </w14:textOutline>
                              </w:rPr>
                            </w:pPr>
                            <w:r>
                              <w:rPr>
                                <w:color w:val="1A1918"/>
                                <w:sz w:val="32"/>
                                <w:szCs w:val="32"/>
                                <w14:textOutline w14:w="9525" w14:cap="rnd" w14:cmpd="sng" w14:algn="ctr">
                                  <w14:noFill/>
                                  <w14:prstDash w14:val="solid"/>
                                  <w14:bevel/>
                                </w14:textOutline>
                              </w:rPr>
                              <w:t>Simon Hayhoe</w:t>
                            </w:r>
                            <w:r w:rsidR="000D726E">
                              <w:rPr>
                                <w:color w:val="1A1918"/>
                                <w:sz w:val="32"/>
                                <w:szCs w:val="32"/>
                                <w14:textOutline w14:w="9525" w14:cap="rnd" w14:cmpd="sng" w14:algn="ctr">
                                  <w14:noFill/>
                                  <w14:prstDash w14:val="solid"/>
                                  <w14:bevel/>
                                </w14:textOutline>
                              </w:rPr>
                              <w:t xml:space="preserve"> </w:t>
                            </w:r>
                            <w:r w:rsidR="00F26B3F">
                              <w:rPr>
                                <w:color w:val="1A1918"/>
                                <w:sz w:val="32"/>
                                <w:szCs w:val="32"/>
                                <w14:textOutline w14:w="9525" w14:cap="rnd" w14:cmpd="sng" w14:algn="ctr">
                                  <w14:noFill/>
                                  <w14:prstDash w14:val="solid"/>
                                  <w14:bevel/>
                                </w14:textOutline>
                              </w:rPr>
                              <w:t>and</w:t>
                            </w:r>
                            <w:r w:rsidR="000D726E">
                              <w:rPr>
                                <w:color w:val="1A1918"/>
                                <w:sz w:val="32"/>
                                <w:szCs w:val="32"/>
                                <w14:textOutline w14:w="9525" w14:cap="rnd" w14:cmpd="sng" w14:algn="ctr">
                                  <w14:noFill/>
                                  <w14:prstDash w14:val="solid"/>
                                  <w14:bevel/>
                                </w14:textOutline>
                              </w:rPr>
                              <w:t xml:space="preserve"> Danny Cahill</w:t>
                            </w:r>
                          </w:p>
                          <w:p w:rsidR="00AE3684" w:rsidRPr="00C9090F" w:rsidRDefault="00AE3684" w:rsidP="003940BC">
                            <w:pPr>
                              <w:pStyle w:val="Cover-Authors"/>
                              <w:spacing w:before="100" w:beforeAutospacing="1" w:after="100" w:afterAutospacing="1"/>
                              <w:jc w:val="center"/>
                              <w:rPr>
                                <w:sz w:val="36"/>
                                <w14:textOutline w14:w="9525" w14:cap="rnd" w14:cmpd="sng" w14:algn="ctr">
                                  <w14:noFill/>
                                  <w14:prstDash w14:val="solid"/>
                                  <w14:bevel/>
                                </w14:textOutline>
                              </w:rPr>
                            </w:pPr>
                          </w:p>
                        </w:txbxContent>
                      </wps:txbx>
                      <wps:bodyPr rot="0" spcFirstLastPara="0" vertOverflow="overflow" horzOverflow="overflow" vert="horz" wrap="square" lIns="0" tIns="9000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27" type="#_x0000_t202" style="position:absolute;left:0;text-align:left;margin-left:-2.7pt;margin-top:671.6pt;width:539pt;height:50.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" filled="f" stroked="f" strokeweight=".5pt">
                <v:textbox inset="0,2.5mm,0,0">
                  <w:txbxContent>
                    <w:p w:rsidR="00AE3684" w:rsidRPr="00C9090F" w:rsidRDefault="00AE3684" w:rsidP="006C3265">
                      <w:pPr>
                        <w:pStyle w:val="Cover-Authors"/>
                        <w:spacing w:before="100" w:beforeAutospacing="1" w:after="100" w:afterAutospacing="1"/>
                        <w:rPr>
                          <w:sz w:val="36"/>
                          <w14:textOutline w14:w="9525" w14:cap="rnd" w14:cmpd="sng" w14:algn="ctr">
                            <w14:noFill/>
                            <w14:prstDash w14:val="solid"/>
                            <w14:bevel/>
                          </w14:textOutline>
                        </w:rPr>
                      </w:pPr>
                      <w:r>
                        <w:rPr>
                          <w:color w:val="1A1918"/>
                          <w:sz w:val="32"/>
                          <w:szCs w:val="32"/>
                          <w14:textOutline w14:w="9525" w14:cap="rnd" w14:cmpd="sng" w14:algn="ctr">
                            <w14:noFill/>
                            <w14:prstDash w14:val="solid"/>
                            <w14:bevel/>
                          </w14:textOutline>
                        </w:rPr>
                        <w:t>Simon Hayhoe</w:t>
                      </w:r>
                      <w:r w:rsidR="000D726E">
                        <w:rPr>
                          <w:color w:val="1A1918"/>
                          <w:sz w:val="32"/>
                          <w:szCs w:val="32"/>
                          <w14:textOutline w14:w="9525" w14:cap="rnd" w14:cmpd="sng" w14:algn="ctr">
                            <w14:noFill/>
                            <w14:prstDash w14:val="solid"/>
                            <w14:bevel/>
                          </w14:textOutline>
                        </w:rPr>
                        <w:t xml:space="preserve"> </w:t>
                      </w:r>
                      <w:r w:rsidR="00F26B3F">
                        <w:rPr>
                          <w:color w:val="1A1918"/>
                          <w:sz w:val="32"/>
                          <w:szCs w:val="32"/>
                          <w14:textOutline w14:w="9525" w14:cap="rnd" w14:cmpd="sng" w14:algn="ctr">
                            <w14:noFill/>
                            <w14:prstDash w14:val="solid"/>
                            <w14:bevel/>
                          </w14:textOutline>
                        </w:rPr>
                        <w:t>and</w:t>
                      </w:r>
                      <w:r w:rsidR="000D726E">
                        <w:rPr>
                          <w:color w:val="1A1918"/>
                          <w:sz w:val="32"/>
                          <w:szCs w:val="32"/>
                          <w14:textOutline w14:w="9525" w14:cap="rnd" w14:cmpd="sng" w14:algn="ctr">
                            <w14:noFill/>
                            <w14:prstDash w14:val="solid"/>
                            <w14:bevel/>
                          </w14:textOutline>
                        </w:rPr>
                        <w:t xml:space="preserve"> Danny Cahill</w:t>
                      </w:r>
                    </w:p>
                    <w:p w:rsidR="00AE3684" w:rsidRPr="00C9090F" w:rsidRDefault="00AE3684" w:rsidP="003940BC">
                      <w:pPr>
                        <w:pStyle w:val="Cover-Authors"/>
                        <w:spacing w:before="100" w:beforeAutospacing="1" w:after="100" w:afterAutospacing="1"/>
                        <w:jc w:val="center"/>
                        <w:rPr>
                          <w:sz w:val="36"/>
                          <w14:textOutline w14:w="9525" w14:cap="rnd" w14:cmpd="sng" w14:algn="ctr">
                            <w14:noFill/>
                            <w14:prstDash w14:val="solid"/>
                            <w14:bevel/>
                          </w14:textOutline>
                        </w:rPr>
                      </w:pPr>
                    </w:p>
                  </w:txbxContent>
                </v:textbox>
              </v:shape>
            </w:pict>
          </mc:Fallback>
        </mc:AlternateContent>
      </w:r>
      <w:r w:rsidR="003940BC">
        <w:rPr>
          <w:noProof/>
        </w:rPr>
        <w:drawing>
          <wp:anchor distT="0" distB="0" distL="114300" distR="114300" simplePos="0" relativeHeight="251672576" behindDoc="0" locked="0" layoutInCell="1" allowOverlap="1" wp14:anchorId="2CC58BDB" wp14:editId="31931498">
            <wp:simplePos x="0" y="0"/>
            <wp:positionH relativeFrom="margin">
              <wp:posOffset>-90805</wp:posOffset>
            </wp:positionH>
            <wp:positionV relativeFrom="margin">
              <wp:posOffset>-982980</wp:posOffset>
            </wp:positionV>
            <wp:extent cx="1970405" cy="667385"/>
            <wp:effectExtent l="0" t="0" r="0" b="5715"/>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LSE Logo_Master File_CMYK_Txt_Blk.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70405" cy="667385"/>
                    </a:xfrm>
                    <a:prstGeom prst="rect">
                      <a:avLst/>
                    </a:prstGeom>
                  </pic:spPr>
                </pic:pic>
              </a:graphicData>
            </a:graphic>
          </wp:anchor>
        </w:drawing>
      </w:r>
      <w:r w:rsidR="000F729E">
        <w:rPr>
          <w:rFonts w:ascii="Roboto"/>
          <w:noProof/>
          <w:color w:val="FFFFFF" w:themeColor="background1"/>
          <w:sz w:val="24"/>
        </w:rPr>
        <mc:AlternateContent>
          <mc:Choice Requires="wps">
            <w:drawing>
              <wp:anchor distT="0" distB="0" distL="114300" distR="114300" simplePos="0" relativeHeight="251660288" behindDoc="0" locked="0" layoutInCell="1" allowOverlap="1" wp14:anchorId="07BFC561" wp14:editId="6303DFEB">
                <wp:simplePos x="0" y="0"/>
                <wp:positionH relativeFrom="page">
                  <wp:posOffset>2653665</wp:posOffset>
                </wp:positionH>
                <wp:positionV relativeFrom="page">
                  <wp:posOffset>504190</wp:posOffset>
                </wp:positionV>
                <wp:extent cx="4370400" cy="73800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4370400" cy="738000"/>
                        </a:xfrm>
                        <a:prstGeom prst="rect">
                          <a:avLst/>
                        </a:prstGeom>
                        <a:noFill/>
                        <a:ln w="6350">
                          <a:noFill/>
                        </a:ln>
                      </wps:spPr>
                      <wps:txbx>
                        <w:txbxContent>
                          <w:p w:rsidR="00AE3684" w:rsidRDefault="00AE3684" w:rsidP="00B43E63">
                            <w:pPr>
                              <w:spacing w:line="380" w:lineRule="exact"/>
                              <w:jc w:val="right"/>
                              <w:rPr>
                                <w:rFonts w:ascii="Roboto" w:hAnsi="Roboto"/>
                                <w:b/>
                                <w:sz w:val="29"/>
                                <w:szCs w:val="30"/>
                              </w:rPr>
                            </w:pPr>
                            <w:r>
                              <w:rPr>
                                <w:rFonts w:ascii="Roboto" w:hAnsi="Roboto"/>
                                <w:b/>
                                <w:sz w:val="29"/>
                                <w:szCs w:val="30"/>
                              </w:rPr>
                              <w:t>Centre for the Philosophy of</w:t>
                            </w:r>
                          </w:p>
                          <w:p w:rsidR="00AE3684" w:rsidRPr="00B43E63" w:rsidRDefault="00AE3684" w:rsidP="00B43E63">
                            <w:pPr>
                              <w:spacing w:line="380" w:lineRule="exact"/>
                              <w:jc w:val="right"/>
                              <w:rPr>
                                <w:rFonts w:ascii="Roboto" w:hAnsi="Roboto"/>
                                <w:b/>
                                <w:sz w:val="29"/>
                                <w:szCs w:val="30"/>
                              </w:rPr>
                            </w:pPr>
                            <w:r>
                              <w:rPr>
                                <w:rFonts w:ascii="Roboto" w:hAnsi="Roboto"/>
                                <w:b/>
                                <w:sz w:val="29"/>
                                <w:szCs w:val="30"/>
                              </w:rPr>
                              <w:t>Natural and Social Science</w:t>
                            </w:r>
                          </w:p>
                          <w:p w:rsidR="00AE3684" w:rsidRPr="00B43E63" w:rsidRDefault="00AE3684" w:rsidP="00B43E63">
                            <w:pPr>
                              <w:spacing w:line="380" w:lineRule="exact"/>
                              <w:jc w:val="right"/>
                              <w:rPr>
                                <w:rFonts w:ascii="Roboto" w:hAnsi="Roboto"/>
                                <w:b/>
                                <w:sz w:val="32"/>
                                <w:szCs w:val="32"/>
                              </w:rPr>
                            </w:pPr>
                          </w:p>
                          <w:p w:rsidR="00AE3684" w:rsidRPr="00B43E63" w:rsidRDefault="00AE3684" w:rsidP="00B43E63">
                            <w:pPr>
                              <w:spacing w:line="380" w:lineRule="exact"/>
                              <w:jc w:val="right"/>
                              <w:rPr>
                                <w:rFonts w:ascii="Roboto Light" w:hAnsi="Roboto Light"/>
                                <w:sz w:val="28"/>
                                <w:szCs w:val="28"/>
                              </w:rPr>
                            </w:pPr>
                          </w:p>
                          <w:p w:rsidR="00AE3684" w:rsidRPr="00B43E63" w:rsidRDefault="00AE3684" w:rsidP="000F729E">
                            <w:pPr>
                              <w:spacing w:line="380" w:lineRule="exact"/>
                              <w:jc w:val="right"/>
                              <w:rPr>
                                <w:rFonts w:ascii="Roboto Light" w:hAnsi="Roboto Light"/>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FC561" id="Text Box 89" o:spid="_x0000_s1028" type="#_x0000_t202" style="position:absolute;left:0;text-align:left;margin-left:208.95pt;margin-top:39.7pt;width:344.15pt;height:58.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" filled="f" stroked="f" strokeweight=".5pt">
                <v:textbox>
                  <w:txbxContent>
                    <w:p w:rsidR="00AE3684" w:rsidRDefault="00AE3684" w:rsidP="00B43E63">
                      <w:pPr>
                        <w:spacing w:line="380" w:lineRule="exact"/>
                        <w:jc w:val="right"/>
                        <w:rPr>
                          <w:rFonts w:ascii="Roboto" w:hAnsi="Roboto"/>
                          <w:b/>
                          <w:sz w:val="29"/>
                          <w:szCs w:val="30"/>
                        </w:rPr>
                      </w:pPr>
                      <w:r>
                        <w:rPr>
                          <w:rFonts w:ascii="Roboto" w:hAnsi="Roboto"/>
                          <w:b/>
                          <w:sz w:val="29"/>
                          <w:szCs w:val="30"/>
                        </w:rPr>
                        <w:t>Centre for the Philosophy of</w:t>
                      </w:r>
                    </w:p>
                    <w:p w:rsidR="00AE3684" w:rsidRPr="00B43E63" w:rsidRDefault="00AE3684" w:rsidP="00B43E63">
                      <w:pPr>
                        <w:spacing w:line="380" w:lineRule="exact"/>
                        <w:jc w:val="right"/>
                        <w:rPr>
                          <w:rFonts w:ascii="Roboto" w:hAnsi="Roboto"/>
                          <w:b/>
                          <w:sz w:val="29"/>
                          <w:szCs w:val="30"/>
                        </w:rPr>
                      </w:pPr>
                      <w:r>
                        <w:rPr>
                          <w:rFonts w:ascii="Roboto" w:hAnsi="Roboto"/>
                          <w:b/>
                          <w:sz w:val="29"/>
                          <w:szCs w:val="30"/>
                        </w:rPr>
                        <w:t>Natural and Social Science</w:t>
                      </w:r>
                    </w:p>
                    <w:p w:rsidR="00AE3684" w:rsidRPr="00B43E63" w:rsidRDefault="00AE3684" w:rsidP="00B43E63">
                      <w:pPr>
                        <w:spacing w:line="380" w:lineRule="exact"/>
                        <w:jc w:val="right"/>
                        <w:rPr>
                          <w:rFonts w:ascii="Roboto" w:hAnsi="Roboto"/>
                          <w:b/>
                          <w:sz w:val="32"/>
                          <w:szCs w:val="32"/>
                        </w:rPr>
                      </w:pPr>
                    </w:p>
                    <w:p w:rsidR="00AE3684" w:rsidRPr="00B43E63" w:rsidRDefault="00AE3684" w:rsidP="00B43E63">
                      <w:pPr>
                        <w:spacing w:line="380" w:lineRule="exact"/>
                        <w:jc w:val="right"/>
                        <w:rPr>
                          <w:rFonts w:ascii="Roboto Light" w:hAnsi="Roboto Light"/>
                          <w:sz w:val="28"/>
                          <w:szCs w:val="28"/>
                        </w:rPr>
                      </w:pPr>
                    </w:p>
                    <w:p w:rsidR="00AE3684" w:rsidRPr="00B43E63" w:rsidRDefault="00AE3684" w:rsidP="000F729E">
                      <w:pPr>
                        <w:spacing w:line="380" w:lineRule="exact"/>
                        <w:jc w:val="right"/>
                        <w:rPr>
                          <w:rFonts w:ascii="Roboto Light" w:hAnsi="Roboto Light"/>
                          <w:sz w:val="28"/>
                          <w:szCs w:val="28"/>
                        </w:rPr>
                      </w:pPr>
                    </w:p>
                  </w:txbxContent>
                </v:textbox>
                <w10:wrap anchorx="page" anchory="page"/>
              </v:shape>
            </w:pict>
          </mc:Fallback>
        </mc:AlternateContent>
      </w:r>
      <w:r w:rsidR="009B1930">
        <w:rPr>
          <w:rFonts w:ascii="Roboto"/>
          <w:sz w:val="24"/>
        </w:rPr>
        <w:softHyphen/>
      </w:r>
      <w:r w:rsidR="000F729E">
        <w:rPr>
          <w:rFonts w:ascii="Roboto"/>
          <w:sz w:val="24"/>
        </w:rPr>
        <w:softHyphen/>
      </w:r>
      <w:r w:rsidR="000F729E">
        <w:rPr>
          <w:rFonts w:ascii="Roboto"/>
          <w:sz w:val="24"/>
        </w:rPr>
        <w:softHyphen/>
      </w:r>
    </w:p>
    <w:p w:rsidR="00C70672" w:rsidRPr="00CB0CBD" w:rsidRDefault="00731B29" w:rsidP="006C5B23">
      <w:pPr>
        <w:pStyle w:val="Heading"/>
      </w:pPr>
      <w:r w:rsidRPr="00CB0CBD">
        <w:lastRenderedPageBreak/>
        <w:t>Abstract</w:t>
      </w:r>
    </w:p>
    <w:p w:rsidR="00C70672" w:rsidRPr="00174775" w:rsidRDefault="00174775" w:rsidP="00174775">
      <w:pPr>
        <w:widowControl/>
        <w:autoSpaceDE/>
        <w:autoSpaceDN/>
        <w:spacing w:before="81" w:line="260" w:lineRule="exact"/>
        <w:rPr>
          <w:rFonts w:ascii="Roboto" w:eastAsia="Times New Roman" w:hAnsi="Roboto" w:cs="Arial"/>
          <w:color w:val="1A1918"/>
          <w:sz w:val="18"/>
          <w:szCs w:val="18"/>
          <w:shd w:val="clear" w:color="auto" w:fill="FFFFFF"/>
          <w:lang w:val="en-GB"/>
        </w:rPr>
        <w:sectPr w:rsidR="00C70672" w:rsidRPr="00174775" w:rsidSect="00AA341E">
          <w:headerReference w:type="even" r:id="rId9"/>
          <w:headerReference w:type="default" r:id="rId10"/>
          <w:pgSz w:w="11910" w:h="16840"/>
          <w:pgMar w:top="2268" w:right="1134" w:bottom="1134" w:left="1134" w:header="0" w:footer="0" w:gutter="0"/>
          <w:pgNumType w:start="2"/>
          <w:cols w:space="720"/>
          <w:vAlign w:val="bottom"/>
        </w:sectPr>
      </w:pPr>
      <w:r>
        <w:rPr>
          <w:rFonts w:ascii="Roboto" w:eastAsia="Times New Roman" w:hAnsi="Roboto" w:cs="Arial"/>
          <w:color w:val="1A1918"/>
          <w:sz w:val="18"/>
          <w:szCs w:val="18"/>
          <w:shd w:val="clear" w:color="auto" w:fill="FFFFFF"/>
          <w:lang w:val="en-GB"/>
        </w:rPr>
        <w:t>Research was conducted after i</w:t>
      </w:r>
      <w:r w:rsidRPr="00174775">
        <w:rPr>
          <w:rFonts w:ascii="Roboto" w:eastAsia="Times New Roman" w:hAnsi="Roboto" w:cs="Arial"/>
          <w:color w:val="1A1918"/>
          <w:sz w:val="18"/>
          <w:szCs w:val="18"/>
          <w:shd w:val="clear" w:color="auto" w:fill="FFFFFF"/>
          <w:lang w:val="en-GB"/>
        </w:rPr>
        <w:t xml:space="preserve">ssues needing research in the Republic of Ireland (Ireland) for Older Adults who developed sight loss were identified by the National Council for the Blind of Ireland. The </w:t>
      </w:r>
      <w:r>
        <w:rPr>
          <w:rFonts w:ascii="Roboto" w:eastAsia="Times New Roman" w:hAnsi="Roboto" w:cs="Arial"/>
          <w:color w:val="1A1918"/>
          <w:sz w:val="18"/>
          <w:szCs w:val="18"/>
          <w:shd w:val="clear" w:color="auto" w:fill="FFFFFF"/>
          <w:lang w:val="en-GB"/>
        </w:rPr>
        <w:t>research</w:t>
      </w:r>
      <w:r w:rsidRPr="00174775">
        <w:rPr>
          <w:rFonts w:ascii="Roboto" w:eastAsia="Times New Roman" w:hAnsi="Roboto" w:cs="Arial"/>
          <w:color w:val="1A1918"/>
          <w:sz w:val="18"/>
          <w:szCs w:val="18"/>
          <w:shd w:val="clear" w:color="auto" w:fill="FFFFFF"/>
          <w:lang w:val="en-GB"/>
        </w:rPr>
        <w:t xml:space="preserve"> was conducted using grounded methodology</w:t>
      </w:r>
      <w:r>
        <w:rPr>
          <w:rFonts w:ascii="Roboto" w:eastAsia="Times New Roman" w:hAnsi="Roboto" w:cs="Arial"/>
          <w:color w:val="1A1918"/>
          <w:sz w:val="18"/>
          <w:szCs w:val="18"/>
          <w:shd w:val="clear" w:color="auto" w:fill="FFFFFF"/>
          <w:lang w:val="en-GB"/>
        </w:rPr>
        <w:t xml:space="preserve"> in three phases</w:t>
      </w:r>
      <w:r w:rsidRPr="00174775">
        <w:rPr>
          <w:rFonts w:ascii="Roboto" w:eastAsia="Times New Roman" w:hAnsi="Roboto" w:cs="Arial"/>
          <w:color w:val="1A1918"/>
          <w:sz w:val="18"/>
          <w:szCs w:val="18"/>
          <w:shd w:val="clear" w:color="auto" w:fill="FFFFFF"/>
          <w:lang w:val="en-GB"/>
        </w:rPr>
        <w:t>.</w:t>
      </w:r>
      <w:r>
        <w:rPr>
          <w:rFonts w:ascii="Roboto" w:eastAsia="Times New Roman" w:hAnsi="Roboto" w:cs="Arial"/>
          <w:color w:val="1A1918"/>
          <w:sz w:val="18"/>
          <w:szCs w:val="18"/>
          <w:shd w:val="clear" w:color="auto" w:fill="FFFFFF"/>
          <w:lang w:val="en-GB"/>
        </w:rPr>
        <w:t xml:space="preserve"> The first phase found </w:t>
      </w:r>
      <w:r w:rsidRPr="00174775">
        <w:rPr>
          <w:rFonts w:ascii="Roboto" w:eastAsia="Times New Roman" w:hAnsi="Roboto" w:cs="Arial"/>
          <w:color w:val="1A1918"/>
          <w:sz w:val="18"/>
          <w:szCs w:val="18"/>
          <w:shd w:val="clear" w:color="auto" w:fill="FFFFFF"/>
          <w:lang w:val="en-GB"/>
        </w:rPr>
        <w:t>NCBI’s Current Services for older adults relate to five elements of what is referred to as inclusive capital. According to the 2016 Irish Census, physical impairments and a large number of cognitive impairments increase in old age, and the likelihood of becoming disabled rises exponentially after the age of 80.</w:t>
      </w:r>
      <w:r>
        <w:rPr>
          <w:rFonts w:ascii="Roboto" w:eastAsia="Times New Roman" w:hAnsi="Roboto" w:cs="Arial"/>
          <w:color w:val="1A1918"/>
          <w:sz w:val="18"/>
          <w:szCs w:val="18"/>
          <w:shd w:val="clear" w:color="auto" w:fill="FFFFFF"/>
          <w:lang w:val="en-GB"/>
        </w:rPr>
        <w:t xml:space="preserve"> The second phase found l</w:t>
      </w:r>
      <w:r w:rsidRPr="00174775">
        <w:rPr>
          <w:rFonts w:ascii="Roboto" w:eastAsia="Times New Roman" w:hAnsi="Roboto" w:cs="Arial"/>
          <w:color w:val="1A1918"/>
          <w:sz w:val="18"/>
          <w:szCs w:val="18"/>
          <w:shd w:val="clear" w:color="auto" w:fill="FFFFFF"/>
          <w:lang w:val="en-GB"/>
        </w:rPr>
        <w:t>arger jurisdictions and jurisdictions with older associations have multiple overlapping agencies, leading to confusion in service provision. Services for all jurisdictions are related to what are felt to be traditional demographics, however most jurisdictions surveyed had specialist services based on unique political or cultural backgrounds.</w:t>
      </w:r>
      <w:r>
        <w:rPr>
          <w:rFonts w:ascii="Roboto" w:eastAsia="Times New Roman" w:hAnsi="Roboto" w:cs="Arial"/>
          <w:color w:val="1A1918"/>
          <w:sz w:val="18"/>
          <w:szCs w:val="18"/>
          <w:shd w:val="clear" w:color="auto" w:fill="FFFFFF"/>
          <w:lang w:val="en-GB"/>
        </w:rPr>
        <w:t xml:space="preserve"> </w:t>
      </w:r>
      <w:r w:rsidRPr="00174775">
        <w:rPr>
          <w:rFonts w:ascii="Roboto" w:eastAsia="Times New Roman" w:hAnsi="Roboto" w:cs="Arial"/>
          <w:color w:val="1A1918"/>
          <w:sz w:val="18"/>
          <w:szCs w:val="18"/>
          <w:shd w:val="clear" w:color="auto" w:fill="FFFFFF"/>
          <w:lang w:val="en-GB"/>
        </w:rPr>
        <w:t>T</w:t>
      </w:r>
      <w:r>
        <w:rPr>
          <w:rFonts w:ascii="Roboto" w:eastAsia="Times New Roman" w:hAnsi="Roboto" w:cs="Arial"/>
          <w:color w:val="1A1918"/>
          <w:sz w:val="18"/>
          <w:szCs w:val="18"/>
          <w:shd w:val="clear" w:color="auto" w:fill="FFFFFF"/>
          <w:lang w:val="en-GB"/>
        </w:rPr>
        <w:t>he t</w:t>
      </w:r>
      <w:r w:rsidRPr="00174775">
        <w:rPr>
          <w:rFonts w:ascii="Roboto" w:eastAsia="Times New Roman" w:hAnsi="Roboto" w:cs="Arial"/>
          <w:color w:val="1A1918"/>
          <w:sz w:val="18"/>
          <w:szCs w:val="18"/>
          <w:shd w:val="clear" w:color="auto" w:fill="FFFFFF"/>
          <w:lang w:val="en-GB"/>
        </w:rPr>
        <w:t xml:space="preserve">hird </w:t>
      </w:r>
      <w:r>
        <w:rPr>
          <w:rFonts w:ascii="Roboto" w:eastAsia="Times New Roman" w:hAnsi="Roboto" w:cs="Arial"/>
          <w:color w:val="1A1918"/>
          <w:sz w:val="18"/>
          <w:szCs w:val="18"/>
          <w:shd w:val="clear" w:color="auto" w:fill="FFFFFF"/>
          <w:lang w:val="en-GB"/>
        </w:rPr>
        <w:t>p</w:t>
      </w:r>
      <w:r w:rsidRPr="00174775">
        <w:rPr>
          <w:rFonts w:ascii="Roboto" w:eastAsia="Times New Roman" w:hAnsi="Roboto" w:cs="Arial"/>
          <w:color w:val="1A1918"/>
          <w:sz w:val="18"/>
          <w:szCs w:val="18"/>
          <w:shd w:val="clear" w:color="auto" w:fill="FFFFFF"/>
          <w:lang w:val="en-GB"/>
        </w:rPr>
        <w:t>hase</w:t>
      </w:r>
      <w:r>
        <w:rPr>
          <w:rFonts w:ascii="Roboto" w:eastAsia="Times New Roman" w:hAnsi="Roboto" w:cs="Arial"/>
          <w:color w:val="1A1918"/>
          <w:sz w:val="18"/>
          <w:szCs w:val="18"/>
          <w:shd w:val="clear" w:color="auto" w:fill="FFFFFF"/>
          <w:lang w:val="en-GB"/>
        </w:rPr>
        <w:t xml:space="preserve"> studied a</w:t>
      </w:r>
      <w:r w:rsidRPr="00174775">
        <w:rPr>
          <w:rFonts w:ascii="Roboto" w:eastAsia="Times New Roman" w:hAnsi="Roboto" w:cs="Arial"/>
          <w:color w:val="1A1918"/>
          <w:sz w:val="18"/>
          <w:szCs w:val="18"/>
          <w:shd w:val="clear" w:color="auto" w:fill="FFFFFF"/>
          <w:lang w:val="en-GB"/>
        </w:rPr>
        <w:t>cademic literature on services for older adults</w:t>
      </w:r>
      <w:r w:rsidR="00570C39">
        <w:rPr>
          <w:rFonts w:ascii="Roboto" w:eastAsia="Times New Roman" w:hAnsi="Roboto" w:cs="Arial"/>
          <w:color w:val="1A1918"/>
          <w:sz w:val="18"/>
          <w:szCs w:val="18"/>
          <w:shd w:val="clear" w:color="auto" w:fill="FFFFFF"/>
          <w:lang w:val="en-GB"/>
        </w:rPr>
        <w:t>, and found literature</w:t>
      </w:r>
      <w:r w:rsidRPr="00174775">
        <w:rPr>
          <w:rFonts w:ascii="Roboto" w:eastAsia="Times New Roman" w:hAnsi="Roboto" w:cs="Arial"/>
          <w:color w:val="1A1918"/>
          <w:sz w:val="18"/>
          <w:szCs w:val="18"/>
          <w:shd w:val="clear" w:color="auto" w:fill="FFFFFF"/>
          <w:lang w:val="en-GB"/>
        </w:rPr>
        <w:t xml:space="preserve"> fell into categories mostly reflecting the five elements of inclusive capital</w:t>
      </w:r>
      <w:r>
        <w:rPr>
          <w:rFonts w:ascii="Roboto" w:eastAsia="Times New Roman" w:hAnsi="Roboto" w:cs="Arial"/>
          <w:color w:val="1A1918"/>
          <w:sz w:val="18"/>
          <w:szCs w:val="18"/>
          <w:shd w:val="clear" w:color="auto" w:fill="FFFFFF"/>
          <w:lang w:val="en-GB"/>
        </w:rPr>
        <w:t>. The study concludes</w:t>
      </w:r>
      <w:r w:rsidRPr="00174775">
        <w:rPr>
          <w:rFonts w:ascii="Roboto" w:eastAsia="Times New Roman" w:hAnsi="Roboto" w:cs="Arial"/>
          <w:color w:val="1A1918"/>
          <w:sz w:val="18"/>
          <w:szCs w:val="18"/>
          <w:shd w:val="clear" w:color="auto" w:fill="FFFFFF"/>
          <w:lang w:val="en-GB"/>
        </w:rPr>
        <w:t xml:space="preserve"> there is a need to consider physical and mental health, multiple impairments, S</w:t>
      </w:r>
      <w:r w:rsidR="00414F9C">
        <w:rPr>
          <w:rFonts w:ascii="Roboto" w:eastAsia="Times New Roman" w:hAnsi="Roboto" w:cs="Arial"/>
          <w:color w:val="1A1918"/>
          <w:sz w:val="18"/>
          <w:szCs w:val="18"/>
          <w:shd w:val="clear" w:color="auto" w:fill="FFFFFF"/>
          <w:lang w:val="en-GB"/>
        </w:rPr>
        <w:t xml:space="preserve">ignificantly </w:t>
      </w:r>
      <w:r w:rsidRPr="00174775">
        <w:rPr>
          <w:rFonts w:ascii="Roboto" w:eastAsia="Times New Roman" w:hAnsi="Roboto" w:cs="Arial"/>
          <w:color w:val="1A1918"/>
          <w:sz w:val="18"/>
          <w:szCs w:val="18"/>
          <w:shd w:val="clear" w:color="auto" w:fill="FFFFFF"/>
          <w:lang w:val="en-GB"/>
        </w:rPr>
        <w:t>O</w:t>
      </w:r>
      <w:r w:rsidR="00414F9C">
        <w:rPr>
          <w:rFonts w:ascii="Roboto" w:eastAsia="Times New Roman" w:hAnsi="Roboto" w:cs="Arial"/>
          <w:color w:val="1A1918"/>
          <w:sz w:val="18"/>
          <w:szCs w:val="18"/>
          <w:shd w:val="clear" w:color="auto" w:fill="FFFFFF"/>
          <w:lang w:val="en-GB"/>
        </w:rPr>
        <w:t xml:space="preserve">lder </w:t>
      </w:r>
      <w:r w:rsidRPr="00174775">
        <w:rPr>
          <w:rFonts w:ascii="Roboto" w:eastAsia="Times New Roman" w:hAnsi="Roboto" w:cs="Arial"/>
          <w:color w:val="1A1918"/>
          <w:sz w:val="18"/>
          <w:szCs w:val="18"/>
          <w:shd w:val="clear" w:color="auto" w:fill="FFFFFF"/>
          <w:lang w:val="en-GB"/>
        </w:rPr>
        <w:t>A</w:t>
      </w:r>
      <w:r w:rsidR="00414F9C">
        <w:rPr>
          <w:rFonts w:ascii="Roboto" w:eastAsia="Times New Roman" w:hAnsi="Roboto" w:cs="Arial"/>
          <w:color w:val="1A1918"/>
          <w:sz w:val="18"/>
          <w:szCs w:val="18"/>
          <w:shd w:val="clear" w:color="auto" w:fill="FFFFFF"/>
          <w:lang w:val="en-GB"/>
        </w:rPr>
        <w:t>dults</w:t>
      </w:r>
      <w:r w:rsidRPr="00174775">
        <w:rPr>
          <w:rFonts w:ascii="Roboto" w:eastAsia="Times New Roman" w:hAnsi="Roboto" w:cs="Arial"/>
          <w:color w:val="1A1918"/>
          <w:sz w:val="18"/>
          <w:szCs w:val="18"/>
          <w:shd w:val="clear" w:color="auto" w:fill="FFFFFF"/>
          <w:lang w:val="en-GB"/>
        </w:rPr>
        <w:t>’ social needs and end-of-life care.</w:t>
      </w:r>
    </w:p>
    <w:p w:rsidR="00370640" w:rsidRPr="004B442E" w:rsidRDefault="00370640" w:rsidP="005E346D">
      <w:pPr>
        <w:pStyle w:val="Heading"/>
        <w:sectPr w:rsidR="00370640" w:rsidRPr="004B442E" w:rsidSect="00AA341E">
          <w:pgSz w:w="11910" w:h="16840"/>
          <w:pgMar w:top="2268" w:right="1134" w:bottom="1134" w:left="1134" w:header="0" w:footer="0" w:gutter="0"/>
          <w:cols w:space="720"/>
        </w:sectPr>
      </w:pPr>
    </w:p>
    <w:p w:rsidR="00DA62CE" w:rsidRPr="00B610C3" w:rsidRDefault="00DA62CE" w:rsidP="00AE3684">
      <w:pPr>
        <w:pStyle w:val="LSEpagetitle"/>
        <w:ind w:left="0"/>
        <w:outlineLvl w:val="0"/>
        <w:rPr>
          <w:rFonts w:ascii="Roboto" w:hAnsi="Roboto"/>
          <w:color w:val="D82331"/>
        </w:rPr>
      </w:pPr>
      <w:r w:rsidRPr="00CB0CBD">
        <w:rPr>
          <w:rFonts w:ascii="Roboto" w:hAnsi="Roboto"/>
        </w:rPr>
        <w:t>Contents</w:t>
      </w:r>
    </w:p>
    <w:p w:rsidR="00A64BE8" w:rsidRDefault="00A64BE8" w:rsidP="00AE3684">
      <w:pPr>
        <w:pStyle w:val="LSEcontentslist"/>
        <w:tabs>
          <w:tab w:val="clear" w:pos="3094"/>
        </w:tabs>
        <w:spacing w:after="0" w:line="320" w:lineRule="exact"/>
        <w:ind w:left="624" w:right="0"/>
        <w:rPr>
          <w:rFonts w:ascii="Roboto" w:eastAsia="Roboto-Light" w:hAnsi="Roboto" w:cs="Roboto-Light"/>
          <w:b/>
          <w:color w:val="D82332"/>
          <w:sz w:val="26"/>
          <w:szCs w:val="22"/>
          <w:lang w:val="en-US"/>
        </w:rPr>
      </w:pPr>
      <w:r w:rsidRPr="00A64BE8">
        <w:rPr>
          <w:rFonts w:ascii="Roboto" w:eastAsia="Roboto-Light" w:hAnsi="Roboto" w:cs="Roboto-Light"/>
          <w:b/>
          <w:color w:val="D82332"/>
          <w:sz w:val="26"/>
          <w:szCs w:val="22"/>
          <w:lang w:val="en-US"/>
        </w:rPr>
        <w:t>1 Introduction &amp; Context</w:t>
      </w:r>
    </w:p>
    <w:p w:rsidR="00DA62CE" w:rsidRPr="00682160" w:rsidRDefault="00DA62CE" w:rsidP="003647E7">
      <w:pPr>
        <w:pStyle w:val="LSEcontentslist"/>
        <w:spacing w:after="0"/>
        <w:ind w:left="2268"/>
      </w:pPr>
      <w:r w:rsidRPr="00E32CC6">
        <w:t>1.1</w:t>
      </w:r>
      <w:r w:rsidRPr="00E32CC6">
        <w:tab/>
      </w:r>
      <w:r w:rsidR="00713C2E" w:rsidRPr="00682160">
        <w:t>Terms Used Throughout</w:t>
      </w:r>
      <w:r w:rsidRPr="00682160">
        <w:tab/>
      </w:r>
      <w:r w:rsidR="00AA574E" w:rsidRPr="00AA574E">
        <w:rPr>
          <w:b/>
        </w:rPr>
        <w:t>6</w:t>
      </w:r>
    </w:p>
    <w:p w:rsidR="00DA62CE" w:rsidRPr="00B610C3" w:rsidRDefault="00DA62CE" w:rsidP="003647E7">
      <w:pPr>
        <w:pStyle w:val="LSEcontentslist"/>
        <w:ind w:left="2268"/>
        <w:rPr>
          <w:color w:val="D82331"/>
        </w:rPr>
      </w:pPr>
      <w:r w:rsidRPr="00682160">
        <w:t>1.2</w:t>
      </w:r>
      <w:r w:rsidRPr="00682160">
        <w:tab/>
      </w:r>
      <w:r w:rsidR="00713C2E" w:rsidRPr="00682160">
        <w:t>The Nature</w:t>
      </w:r>
      <w:r w:rsidR="00713C2E" w:rsidRPr="00713C2E">
        <w:t xml:space="preserve"> and Aims of the Study</w:t>
      </w:r>
      <w:r w:rsidR="00AA574E">
        <w:t xml:space="preserve"> </w:t>
      </w:r>
      <w:r w:rsidR="00AA574E" w:rsidRPr="00AA574E">
        <w:rPr>
          <w:b/>
        </w:rPr>
        <w:t>6</w:t>
      </w:r>
      <w:r w:rsidRPr="00E32CC6">
        <w:tab/>
      </w:r>
      <w:r w:rsidRPr="00B610C3">
        <w:rPr>
          <w:color w:val="D82331"/>
        </w:rPr>
        <w:tab/>
      </w:r>
    </w:p>
    <w:p w:rsidR="00A64BE8" w:rsidRDefault="00A64BE8" w:rsidP="00AE3684">
      <w:pPr>
        <w:pStyle w:val="LSEcontentslist"/>
        <w:tabs>
          <w:tab w:val="clear" w:pos="3094"/>
        </w:tabs>
        <w:spacing w:after="0" w:line="320" w:lineRule="exact"/>
        <w:ind w:left="624" w:right="0"/>
        <w:rPr>
          <w:rFonts w:ascii="Roboto" w:eastAsia="Roboto-Light" w:hAnsi="Roboto" w:cs="Roboto-Light"/>
          <w:b/>
          <w:color w:val="D82332"/>
          <w:sz w:val="26"/>
          <w:szCs w:val="22"/>
          <w:lang w:val="en-US"/>
        </w:rPr>
      </w:pPr>
      <w:r w:rsidRPr="00A64BE8">
        <w:rPr>
          <w:rFonts w:ascii="Roboto" w:eastAsia="Roboto-Light" w:hAnsi="Roboto" w:cs="Roboto-Light"/>
          <w:b/>
          <w:color w:val="D82332"/>
          <w:sz w:val="26"/>
          <w:szCs w:val="22"/>
          <w:lang w:val="en-US"/>
        </w:rPr>
        <w:t>2 Context of, and Model Used During, the Study</w:t>
      </w:r>
    </w:p>
    <w:p w:rsidR="00713C2E" w:rsidRPr="00682160" w:rsidRDefault="00DA62CE" w:rsidP="003647E7">
      <w:pPr>
        <w:pStyle w:val="LSEcontentslist"/>
        <w:spacing w:after="0"/>
        <w:ind w:left="2268"/>
      </w:pPr>
      <w:r w:rsidRPr="00E32CC6">
        <w:t>2.1</w:t>
      </w:r>
      <w:r w:rsidRPr="00E32CC6">
        <w:tab/>
      </w:r>
      <w:r w:rsidR="00713C2E" w:rsidRPr="00682160">
        <w:t>NCBI</w:t>
      </w:r>
      <w:r w:rsidR="00AA574E">
        <w:t xml:space="preserve"> </w:t>
      </w:r>
      <w:r w:rsidR="00AA574E" w:rsidRPr="00AA574E">
        <w:rPr>
          <w:b/>
        </w:rPr>
        <w:t>7</w:t>
      </w:r>
    </w:p>
    <w:p w:rsidR="00713C2E" w:rsidRPr="00682160" w:rsidRDefault="00713C2E" w:rsidP="003647E7">
      <w:pPr>
        <w:pStyle w:val="LSEcontentslist"/>
        <w:spacing w:after="0"/>
        <w:ind w:left="2268"/>
      </w:pPr>
      <w:r w:rsidRPr="00682160">
        <w:t>2.2</w:t>
      </w:r>
      <w:r w:rsidRPr="00682160">
        <w:tab/>
        <w:t>The Problem Investigated in this Report</w:t>
      </w:r>
      <w:r w:rsidR="00AA574E">
        <w:t xml:space="preserve"> </w:t>
      </w:r>
      <w:r w:rsidR="00AA574E" w:rsidRPr="00AA574E">
        <w:rPr>
          <w:b/>
        </w:rPr>
        <w:t>7</w:t>
      </w:r>
    </w:p>
    <w:p w:rsidR="00DA62CE" w:rsidRPr="00682160" w:rsidRDefault="00713C2E" w:rsidP="003647E7">
      <w:pPr>
        <w:pStyle w:val="LSEcontentslist"/>
        <w:spacing w:after="0"/>
        <w:ind w:left="2268"/>
      </w:pPr>
      <w:r w:rsidRPr="00682160">
        <w:t>2.3</w:t>
      </w:r>
      <w:r w:rsidRPr="00682160">
        <w:tab/>
        <w:t>Inclusive Capital</w:t>
      </w:r>
      <w:r w:rsidR="00AA574E">
        <w:t xml:space="preserve"> </w:t>
      </w:r>
      <w:r w:rsidR="00AA574E" w:rsidRPr="00AA574E">
        <w:rPr>
          <w:b/>
        </w:rPr>
        <w:t>8</w:t>
      </w:r>
    </w:p>
    <w:p w:rsidR="00DA62CE" w:rsidRDefault="00DA62CE" w:rsidP="003647E7">
      <w:pPr>
        <w:pStyle w:val="LSEcontentslist"/>
        <w:ind w:left="2268"/>
      </w:pPr>
      <w:r w:rsidRPr="00682160">
        <w:t>2.</w:t>
      </w:r>
      <w:r w:rsidR="00682160" w:rsidRPr="00682160">
        <w:t>4</w:t>
      </w:r>
      <w:r w:rsidRPr="00682160">
        <w:tab/>
      </w:r>
      <w:r w:rsidR="00713C2E" w:rsidRPr="00682160">
        <w:t>Five Stages of Providing</w:t>
      </w:r>
      <w:r w:rsidR="00713C2E" w:rsidRPr="00713C2E">
        <w:t xml:space="preserve"> Inclusive Capital Through OAS</w:t>
      </w:r>
      <w:r w:rsidR="00AA574E">
        <w:t xml:space="preserve"> </w:t>
      </w:r>
      <w:r w:rsidR="00AA574E" w:rsidRPr="00AA574E">
        <w:rPr>
          <w:b/>
        </w:rPr>
        <w:t>8</w:t>
      </w:r>
    </w:p>
    <w:p w:rsidR="00DA62CE" w:rsidRPr="007B51FB" w:rsidRDefault="00A64BE8" w:rsidP="007B51FB">
      <w:pPr>
        <w:pStyle w:val="Heading"/>
      </w:pPr>
      <w:r w:rsidRPr="00A64BE8">
        <w:t>3 Research Methodology</w:t>
      </w:r>
    </w:p>
    <w:p w:rsidR="00682160" w:rsidRDefault="000D3FCD" w:rsidP="003647E7">
      <w:pPr>
        <w:pStyle w:val="LSEcontentslist"/>
        <w:spacing w:after="0"/>
        <w:ind w:left="2268"/>
      </w:pPr>
      <w:r>
        <w:t>3</w:t>
      </w:r>
      <w:r w:rsidR="00682160" w:rsidRPr="00E32CC6">
        <w:t>.</w:t>
      </w:r>
      <w:r>
        <w:t>1</w:t>
      </w:r>
      <w:r w:rsidR="00682160" w:rsidRPr="00E32CC6">
        <w:tab/>
      </w:r>
      <w:r w:rsidRPr="000D3FCD">
        <w:t>Grounded Methodology</w:t>
      </w:r>
      <w:r w:rsidR="00AA574E">
        <w:t xml:space="preserve"> </w:t>
      </w:r>
      <w:r w:rsidR="00AA574E" w:rsidRPr="00212CE8">
        <w:rPr>
          <w:b/>
        </w:rPr>
        <w:t>11</w:t>
      </w:r>
    </w:p>
    <w:p w:rsidR="000D3FCD" w:rsidRDefault="000D3FCD" w:rsidP="003647E7">
      <w:pPr>
        <w:pStyle w:val="LSEcontentslist"/>
        <w:spacing w:after="0"/>
        <w:ind w:left="2268"/>
      </w:pPr>
      <w:r>
        <w:t>3</w:t>
      </w:r>
      <w:r w:rsidRPr="00E32CC6">
        <w:t>.</w:t>
      </w:r>
      <w:r>
        <w:t>2</w:t>
      </w:r>
      <w:r w:rsidRPr="00E32CC6">
        <w:tab/>
      </w:r>
      <w:r w:rsidRPr="000D3FCD">
        <w:t>System of Search</w:t>
      </w:r>
      <w:r w:rsidR="00AA574E">
        <w:t xml:space="preserve"> </w:t>
      </w:r>
      <w:r w:rsidR="00AA574E" w:rsidRPr="00212CE8">
        <w:rPr>
          <w:b/>
        </w:rPr>
        <w:t>11</w:t>
      </w:r>
    </w:p>
    <w:p w:rsidR="00682160" w:rsidRPr="000D3FCD" w:rsidRDefault="000D3FCD" w:rsidP="003647E7">
      <w:pPr>
        <w:pStyle w:val="LSEcontentslist"/>
        <w:ind w:left="2268"/>
      </w:pPr>
      <w:r>
        <w:t>3</w:t>
      </w:r>
      <w:r w:rsidRPr="00E32CC6">
        <w:t>.</w:t>
      </w:r>
      <w:r>
        <w:t>3</w:t>
      </w:r>
      <w:r w:rsidRPr="00E32CC6">
        <w:tab/>
      </w:r>
      <w:r w:rsidRPr="000D3FCD">
        <w:t>Implementing the Three Phases of Data Analysis</w:t>
      </w:r>
      <w:r w:rsidR="00AA574E">
        <w:t xml:space="preserve"> </w:t>
      </w:r>
      <w:r w:rsidR="00AA574E" w:rsidRPr="00212CE8">
        <w:rPr>
          <w:b/>
        </w:rPr>
        <w:t>13</w:t>
      </w:r>
    </w:p>
    <w:p w:rsidR="00A64BE8" w:rsidRPr="007B51FB" w:rsidRDefault="00A64BE8" w:rsidP="00A64BE8">
      <w:pPr>
        <w:pStyle w:val="Heading"/>
      </w:pPr>
      <w:r w:rsidRPr="00A64BE8">
        <w:t>4 Analysis of the First Phase</w:t>
      </w:r>
    </w:p>
    <w:p w:rsidR="00A64BE8" w:rsidRPr="000D3FCD" w:rsidRDefault="000D3FCD" w:rsidP="003647E7">
      <w:pPr>
        <w:pStyle w:val="LSEcontentslist"/>
        <w:spacing w:after="0"/>
        <w:ind w:left="2268"/>
      </w:pPr>
      <w:r>
        <w:t>4</w:t>
      </w:r>
      <w:r w:rsidR="00A64BE8" w:rsidRPr="00E32CC6">
        <w:t>.1</w:t>
      </w:r>
      <w:r w:rsidR="00A64BE8" w:rsidRPr="00E32CC6">
        <w:tab/>
      </w:r>
      <w:r w:rsidRPr="000D3FCD">
        <w:t>Initial Observations: An Overview of Demographics, the NCBI and OAS in Similar Jurisdictions</w:t>
      </w:r>
      <w:r w:rsidR="00212CE8">
        <w:t xml:space="preserve"> </w:t>
      </w:r>
      <w:r w:rsidR="00212CE8" w:rsidRPr="00212CE8">
        <w:rPr>
          <w:b/>
        </w:rPr>
        <w:t>14</w:t>
      </w:r>
      <w:r w:rsidR="00A64BE8" w:rsidRPr="000D3FCD">
        <w:tab/>
      </w:r>
    </w:p>
    <w:p w:rsidR="00A64BE8" w:rsidRPr="00B610C3" w:rsidRDefault="000D3FCD" w:rsidP="003647E7">
      <w:pPr>
        <w:pStyle w:val="LSEcontentslist"/>
        <w:ind w:left="2268"/>
        <w:rPr>
          <w:color w:val="D82331"/>
        </w:rPr>
      </w:pPr>
      <w:r>
        <w:t>4</w:t>
      </w:r>
      <w:r w:rsidR="00A64BE8" w:rsidRPr="000D3FCD">
        <w:t>.2</w:t>
      </w:r>
      <w:r w:rsidR="00A64BE8" w:rsidRPr="000D3FCD">
        <w:tab/>
      </w:r>
      <w:r w:rsidRPr="000D3FCD">
        <w:t>Discussion</w:t>
      </w:r>
      <w:r w:rsidR="00212CE8">
        <w:t xml:space="preserve"> </w:t>
      </w:r>
      <w:r w:rsidR="00212CE8" w:rsidRPr="00212CE8">
        <w:rPr>
          <w:b/>
        </w:rPr>
        <w:t>19</w:t>
      </w:r>
    </w:p>
    <w:p w:rsidR="00A64BE8" w:rsidRPr="007B51FB" w:rsidRDefault="00A64BE8" w:rsidP="00A64BE8">
      <w:pPr>
        <w:pStyle w:val="Heading"/>
      </w:pPr>
      <w:r>
        <w:t xml:space="preserve">5 </w:t>
      </w:r>
      <w:proofErr w:type="spellStart"/>
      <w:r w:rsidRPr="00A64BE8">
        <w:t>Analyis</w:t>
      </w:r>
      <w:proofErr w:type="spellEnd"/>
      <w:r w:rsidRPr="00A64BE8">
        <w:t xml:space="preserve"> of the Second Phase</w:t>
      </w:r>
    </w:p>
    <w:p w:rsidR="00A64BE8" w:rsidRPr="000D3FCD" w:rsidRDefault="000D3FCD" w:rsidP="003647E7">
      <w:pPr>
        <w:pStyle w:val="LSEcontentslist"/>
        <w:spacing w:after="0"/>
        <w:ind w:left="2268"/>
      </w:pPr>
      <w:r>
        <w:t>5</w:t>
      </w:r>
      <w:r w:rsidR="00A64BE8" w:rsidRPr="00E32CC6">
        <w:t>.1</w:t>
      </w:r>
      <w:r w:rsidR="00A64BE8" w:rsidRPr="00E32CC6">
        <w:tab/>
      </w:r>
      <w:r w:rsidR="003647E7" w:rsidRPr="003647E7">
        <w:t>Initial observations</w:t>
      </w:r>
      <w:r w:rsidR="00212CE8">
        <w:t xml:space="preserve"> </w:t>
      </w:r>
      <w:r w:rsidR="00212CE8" w:rsidRPr="00212CE8">
        <w:rPr>
          <w:b/>
        </w:rPr>
        <w:t>21</w:t>
      </w:r>
    </w:p>
    <w:p w:rsidR="00A64BE8" w:rsidRPr="00B610C3" w:rsidRDefault="000D3FCD" w:rsidP="003647E7">
      <w:pPr>
        <w:pStyle w:val="LSEcontentslist"/>
        <w:ind w:left="2268"/>
        <w:rPr>
          <w:color w:val="D82331"/>
        </w:rPr>
      </w:pPr>
      <w:r>
        <w:t>5</w:t>
      </w:r>
      <w:r w:rsidR="00A64BE8" w:rsidRPr="000D3FCD">
        <w:t>.2</w:t>
      </w:r>
      <w:r w:rsidR="00A64BE8" w:rsidRPr="000D3FCD">
        <w:tab/>
      </w:r>
      <w:r w:rsidR="003647E7" w:rsidRPr="003647E7">
        <w:t>Discussion</w:t>
      </w:r>
      <w:r w:rsidR="00212CE8">
        <w:t xml:space="preserve"> </w:t>
      </w:r>
      <w:r w:rsidR="00212CE8" w:rsidRPr="00212CE8">
        <w:rPr>
          <w:b/>
        </w:rPr>
        <w:t>23</w:t>
      </w:r>
      <w:r w:rsidR="00A64BE8" w:rsidRPr="00B610C3">
        <w:rPr>
          <w:color w:val="D82331"/>
        </w:rPr>
        <w:tab/>
      </w:r>
    </w:p>
    <w:p w:rsidR="00A64BE8" w:rsidRDefault="00A64BE8" w:rsidP="00A64BE8">
      <w:pPr>
        <w:pStyle w:val="Heading"/>
      </w:pPr>
      <w:r>
        <w:t>6 Analysis of the</w:t>
      </w:r>
      <w:r w:rsidRPr="00574624">
        <w:t xml:space="preserve"> </w:t>
      </w:r>
      <w:r>
        <w:t>Third</w:t>
      </w:r>
      <w:r w:rsidRPr="00574624">
        <w:t xml:space="preserve"> Phase</w:t>
      </w:r>
    </w:p>
    <w:p w:rsidR="00A64BE8" w:rsidRDefault="000D3FCD" w:rsidP="00AA574E">
      <w:pPr>
        <w:pStyle w:val="LSEcontentslist"/>
        <w:ind w:left="2268"/>
      </w:pPr>
      <w:r>
        <w:t>6</w:t>
      </w:r>
      <w:r w:rsidR="00A64BE8" w:rsidRPr="00E32CC6">
        <w:t>.1</w:t>
      </w:r>
      <w:r w:rsidR="00A64BE8" w:rsidRPr="00E32CC6">
        <w:tab/>
      </w:r>
      <w:r w:rsidR="00AA574E" w:rsidRPr="00AA574E">
        <w:t>Analysis of the Unrefined Hypothesis</w:t>
      </w:r>
      <w:r w:rsidR="00212CE8">
        <w:t xml:space="preserve"> </w:t>
      </w:r>
      <w:r w:rsidR="00212CE8" w:rsidRPr="00212CE8">
        <w:rPr>
          <w:b/>
        </w:rPr>
        <w:t>26</w:t>
      </w:r>
    </w:p>
    <w:p w:rsidR="00A64BE8" w:rsidRPr="007B51FB" w:rsidRDefault="00A64BE8" w:rsidP="00A64BE8">
      <w:pPr>
        <w:pStyle w:val="Heading"/>
      </w:pPr>
      <w:r>
        <w:t xml:space="preserve">7 </w:t>
      </w:r>
      <w:r w:rsidRPr="00A64BE8">
        <w:t>Main Discussion and Recommendations</w:t>
      </w:r>
    </w:p>
    <w:p w:rsidR="003647E7" w:rsidRDefault="000D3FCD" w:rsidP="00AA574E">
      <w:pPr>
        <w:pStyle w:val="LSEcontentslist"/>
        <w:spacing w:after="0"/>
        <w:ind w:left="2268"/>
      </w:pPr>
      <w:r>
        <w:t>7</w:t>
      </w:r>
      <w:r w:rsidR="00A64BE8" w:rsidRPr="00E32CC6">
        <w:t>.1</w:t>
      </w:r>
      <w:r w:rsidR="00A64BE8" w:rsidRPr="00E32CC6">
        <w:tab/>
      </w:r>
      <w:r w:rsidR="00AA574E" w:rsidRPr="00AA574E">
        <w:t>Discussion</w:t>
      </w:r>
      <w:r w:rsidR="00212CE8">
        <w:t xml:space="preserve"> </w:t>
      </w:r>
      <w:r w:rsidR="00212CE8" w:rsidRPr="00212CE8">
        <w:rPr>
          <w:b/>
        </w:rPr>
        <w:t>28</w:t>
      </w:r>
    </w:p>
    <w:p w:rsidR="00DA62CE" w:rsidRDefault="003647E7" w:rsidP="00212CE8">
      <w:pPr>
        <w:pStyle w:val="LSEcontentslist"/>
        <w:spacing w:after="0"/>
        <w:ind w:left="2268"/>
        <w:sectPr w:rsidR="00DA62CE" w:rsidSect="00AE3684">
          <w:type w:val="continuous"/>
          <w:pgSz w:w="11910" w:h="16840"/>
          <w:pgMar w:top="2268" w:right="1134" w:bottom="1134" w:left="1134" w:header="907" w:footer="720" w:gutter="0"/>
          <w:cols w:space="567"/>
        </w:sectPr>
      </w:pPr>
      <w:r>
        <w:t>7</w:t>
      </w:r>
      <w:r w:rsidRPr="00E32CC6">
        <w:t>.</w:t>
      </w:r>
      <w:r w:rsidR="00AA574E">
        <w:t>2</w:t>
      </w:r>
      <w:r w:rsidRPr="00E32CC6">
        <w:tab/>
      </w:r>
      <w:r w:rsidR="00AA574E" w:rsidRPr="00AA574E">
        <w:t>Recommendations for Future Action</w:t>
      </w:r>
      <w:r w:rsidR="00212CE8">
        <w:t xml:space="preserve"> </w:t>
      </w:r>
      <w:r w:rsidR="00212CE8" w:rsidRPr="00212CE8">
        <w:rPr>
          <w:b/>
        </w:rPr>
        <w:t>30</w:t>
      </w:r>
    </w:p>
    <w:p w:rsidR="00B87F9B" w:rsidRPr="00B87F9B" w:rsidRDefault="00A73334" w:rsidP="00B87F9B">
      <w:pPr>
        <w:pStyle w:val="Heading"/>
      </w:pPr>
      <w:r w:rsidRPr="007B51FB">
        <w:lastRenderedPageBreak/>
        <w:t>Executive Summary Heading</w:t>
      </w:r>
    </w:p>
    <w:p w:rsidR="00B87F9B" w:rsidRPr="00713C2E" w:rsidRDefault="00B87F9B" w:rsidP="00713C2E">
      <w:pPr>
        <w:rPr>
          <w:b/>
        </w:rPr>
      </w:pPr>
      <w:r w:rsidRPr="00713C2E">
        <w:rPr>
          <w:b/>
        </w:rPr>
        <w:t>Context</w:t>
      </w:r>
    </w:p>
    <w:p w:rsidR="00B87F9B" w:rsidRPr="00B87F9B" w:rsidRDefault="00B87F9B" w:rsidP="00713C2E">
      <w:r w:rsidRPr="00B87F9B">
        <w:t xml:space="preserve">Issues needing research in the Republic of Ireland (Ireland) for Older Adults (OA) – i.e. people over the age of 65 years - who developed sight loss were identified by the National Council for the Blind of Ireland (NCBI). Three prominent examples of these issues are: Current provision is mostly a workforce model; </w:t>
      </w:r>
      <w:r w:rsidR="00570C39">
        <w:t>OA</w:t>
      </w:r>
      <w:r w:rsidR="00096F05">
        <w:t>`QA</w:t>
      </w:r>
      <w:r w:rsidRPr="00B87F9B">
        <w:t xml:space="preserve"> are not in need of career development; Training to provide inclusion and domestic skills is needed, and should be </w:t>
      </w:r>
      <w:proofErr w:type="spellStart"/>
      <w:r w:rsidRPr="00B87F9B">
        <w:t>prioritised</w:t>
      </w:r>
      <w:proofErr w:type="spellEnd"/>
      <w:r w:rsidRPr="00B87F9B">
        <w:t>.</w:t>
      </w:r>
    </w:p>
    <w:p w:rsidR="00B87F9B" w:rsidRPr="00713C2E" w:rsidRDefault="00B87F9B" w:rsidP="00713C2E">
      <w:pPr>
        <w:rPr>
          <w:b/>
        </w:rPr>
      </w:pPr>
      <w:r w:rsidRPr="00713C2E">
        <w:rPr>
          <w:b/>
        </w:rPr>
        <w:t>Methodology</w:t>
      </w:r>
    </w:p>
    <w:p w:rsidR="00B87F9B" w:rsidRPr="00B87F9B" w:rsidRDefault="00B87F9B" w:rsidP="00713C2E">
      <w:r w:rsidRPr="00B87F9B">
        <w:t>The project was conducted using grounded methodology. The research was a three-phase, qualitative survey of documentation on demographics, the provision of older adult services in similar jurisdictions and academic literature.</w:t>
      </w:r>
    </w:p>
    <w:p w:rsidR="00B87F9B" w:rsidRPr="00713C2E" w:rsidRDefault="00B87F9B" w:rsidP="00713C2E">
      <w:pPr>
        <w:rPr>
          <w:b/>
        </w:rPr>
      </w:pPr>
      <w:r w:rsidRPr="00713C2E">
        <w:rPr>
          <w:b/>
        </w:rPr>
        <w:t>Findings</w:t>
      </w:r>
    </w:p>
    <w:p w:rsidR="00B87F9B" w:rsidRPr="00B87F9B" w:rsidRDefault="00B87F9B" w:rsidP="00523CEB">
      <w:pPr>
        <w:pStyle w:val="ListParagraph"/>
        <w:numPr>
          <w:ilvl w:val="0"/>
          <w:numId w:val="13"/>
        </w:numPr>
      </w:pPr>
      <w:r w:rsidRPr="00F26B3F">
        <w:rPr>
          <w:i/>
        </w:rPr>
        <w:t>First Phase of Research</w:t>
      </w:r>
      <w:r w:rsidRPr="00B87F9B">
        <w:t xml:space="preserve">: NCBI’s Current Services for older adults relate to five elements of what is referred to as inclusive capital. According to the 2016 Irish Census, physical impairments and a large number of cognitive impairments increase in old age, and the likelihood of becoming disabled rises exponentially after the age of 80. The number of OA is also continuing to increase, as a greater number of people are surviving into old age. Heat maps show a correlation between disability and age. The Irish census also shows a strong correlation between average age and disability, and shows proportionately more disability and a higher average age in rural areas. Carers are also more likely to only support people with disabilities for &lt;14 hours per week or &gt;43 hours per week - it is assumed that unpaid carers working &gt;43 hours a week live with the person being cared for </w:t>
      </w:r>
      <w:r w:rsidR="00570C39">
        <w:t xml:space="preserve">and </w:t>
      </w:r>
      <w:r w:rsidRPr="00B87F9B">
        <w:t>are more likely to be family members, as this figure correlates with unpaid carer hours.</w:t>
      </w:r>
    </w:p>
    <w:p w:rsidR="00B87F9B" w:rsidRPr="00B87F9B" w:rsidRDefault="00B87F9B" w:rsidP="00523CEB">
      <w:pPr>
        <w:pStyle w:val="ListParagraph"/>
        <w:numPr>
          <w:ilvl w:val="0"/>
          <w:numId w:val="13"/>
        </w:numPr>
      </w:pPr>
      <w:r w:rsidRPr="00F26B3F">
        <w:rPr>
          <w:i/>
        </w:rPr>
        <w:t>Second Phase of Research</w:t>
      </w:r>
      <w:r w:rsidRPr="00B87F9B">
        <w:t xml:space="preserve">: Larger jurisdictions and jurisdictions with older associations have multiple overlapping agencies, leading to confusion in service provision. Services for all jurisdictions are related to what are felt to be traditional demographics, however most jurisdictions </w:t>
      </w:r>
      <w:r w:rsidRPr="00B87F9B">
        <w:t>surveyed had specialist services based on unique political or cultural backgrounds. However, there were services common to most of these jurisdictions, including: advocacy services, although this advocacy often focused on younger people’s services or employment; health care, although this did not appear to cover issues related to OA – e.g. dementia; IT services, although none of these IT services appeared to specialize in OAs; independent living skills, which was the strongest focus for OA services, although transition training often specialized in younger adults; mobility services, although again these services rarely advertised specialist services for older adults. These observations led to the following hypothesis:</w:t>
      </w:r>
    </w:p>
    <w:p w:rsidR="00B87F9B" w:rsidRPr="00523CEB" w:rsidRDefault="00B87F9B" w:rsidP="00523CEB">
      <w:pPr>
        <w:pStyle w:val="ListParagraph"/>
        <w:ind w:left="1080"/>
        <w:rPr>
          <w:i/>
        </w:rPr>
      </w:pPr>
      <w:bookmarkStart w:id="0" w:name="_GoBack"/>
      <w:r w:rsidRPr="00523CEB">
        <w:rPr>
          <w:i/>
        </w:rPr>
        <w:t>Apart from independent living skills, few small jurisdictions appear to have specialist services for OA, which largely ignores the changing demographics of a growing need for discrete OAS. In addition, services too often appear to be based on institutional tradition rather than targeted needs.</w:t>
      </w:r>
    </w:p>
    <w:bookmarkEnd w:id="0"/>
    <w:p w:rsidR="00B87F9B" w:rsidRPr="00B87F9B" w:rsidRDefault="00B87F9B" w:rsidP="00523CEB">
      <w:pPr>
        <w:pStyle w:val="ListParagraph"/>
        <w:numPr>
          <w:ilvl w:val="0"/>
          <w:numId w:val="13"/>
        </w:numPr>
      </w:pPr>
      <w:r w:rsidRPr="00F26B3F">
        <w:rPr>
          <w:i/>
        </w:rPr>
        <w:t>Third Phase of Research</w:t>
      </w:r>
      <w:r w:rsidRPr="00B87F9B">
        <w:t>: Academic literature on services for older adults fell into categories mostly reflecting the five elements of inclusive capital: networking – well-being, mental health and remaining parts of the community; learning – re-education to be able to remain independent; Information – provision of information on services; space &amp; place – related to independent living in home and community; mobility – transport in, around and outside houses. However, there were complicating issues identified in the literature that need to be addressed, these include: older people are surviving and developing sight loss and multiple impairments; issues of general health and psychological well-being are becoming more important; adults over 80 years (what are termed in the main report as SOA) will increasingly have other health issues related to old age.</w:t>
      </w:r>
    </w:p>
    <w:p w:rsidR="00F26B3F" w:rsidRDefault="00F26B3F" w:rsidP="00713C2E">
      <w:pPr>
        <w:rPr>
          <w:b/>
        </w:rPr>
      </w:pPr>
    </w:p>
    <w:p w:rsidR="00F26B3F" w:rsidRDefault="00F26B3F" w:rsidP="00713C2E">
      <w:pPr>
        <w:rPr>
          <w:b/>
        </w:rPr>
      </w:pPr>
    </w:p>
    <w:p w:rsidR="00F26B3F" w:rsidRDefault="00F26B3F" w:rsidP="00713C2E">
      <w:pPr>
        <w:rPr>
          <w:b/>
        </w:rPr>
      </w:pPr>
    </w:p>
    <w:p w:rsidR="00B87F9B" w:rsidRPr="00713C2E" w:rsidRDefault="00B87F9B" w:rsidP="00713C2E">
      <w:pPr>
        <w:rPr>
          <w:b/>
        </w:rPr>
      </w:pPr>
      <w:r w:rsidRPr="00713C2E">
        <w:rPr>
          <w:b/>
        </w:rPr>
        <w:t>Conclusions and Recommendations</w:t>
      </w:r>
    </w:p>
    <w:p w:rsidR="00A73334" w:rsidRPr="00D70749" w:rsidRDefault="00B87F9B" w:rsidP="00713C2E">
      <w:pPr>
        <w:rPr>
          <w:rFonts w:cs="Times New Roman"/>
          <w:sz w:val="24"/>
          <w:szCs w:val="24"/>
          <w:lang w:val="en-GB"/>
        </w:rPr>
      </w:pPr>
      <w:r w:rsidRPr="00B87F9B">
        <w:t>Much of the hypothesis stands, and there is a need to consider physical and mental health, multiple impairments, SOA’s social needs and end-of-life care. There is also a need for services to emphasise practical issues of independent living and re-education, a need for joined up services, and for associated services supporting other conditions to work together – e.g. services related to hearing loss and dementia. NCBI and other smaller jurisdictions’ services have the advantage they are closer to their clients and are the one-stop-shop for SOA.</w:t>
      </w:r>
    </w:p>
    <w:p w:rsidR="00A73334" w:rsidRDefault="00A73334" w:rsidP="00A73334">
      <w:pPr>
        <w:pStyle w:val="ExecutiveSummary"/>
      </w:pPr>
    </w:p>
    <w:p w:rsidR="000C1E5F" w:rsidRDefault="000C1E5F">
      <w:pPr>
        <w:rPr>
          <w:rFonts w:ascii="Roboto" w:hAnsi="Roboto"/>
          <w:b/>
          <w:color w:val="D82332"/>
          <w:sz w:val="26"/>
        </w:rPr>
      </w:pPr>
      <w:r>
        <w:br w:type="page"/>
      </w:r>
    </w:p>
    <w:p w:rsidR="00A73334" w:rsidRDefault="00A73334" w:rsidP="007B51FB">
      <w:pPr>
        <w:pStyle w:val="Heading"/>
      </w:pPr>
      <w:r w:rsidRPr="007B51FB">
        <w:lastRenderedPageBreak/>
        <w:t xml:space="preserve">1 </w:t>
      </w:r>
      <w:r w:rsidR="00B87F9B" w:rsidRPr="00B87F9B">
        <w:t>Introduction &amp; Context</w:t>
      </w:r>
    </w:p>
    <w:p w:rsidR="00713C2E" w:rsidRPr="007B51FB" w:rsidRDefault="00713C2E" w:rsidP="00713C2E">
      <w:pPr>
        <w:pStyle w:val="Sub-head"/>
      </w:pPr>
      <w:r>
        <w:t>1.1 Terms Used Throughout</w:t>
      </w:r>
    </w:p>
    <w:p w:rsidR="00AE3684" w:rsidRDefault="00AE3684" w:rsidP="00A36404">
      <w:r w:rsidRPr="005400BE">
        <w:t xml:space="preserve">Terms </w:t>
      </w:r>
      <w:r>
        <w:t>u</w:t>
      </w:r>
      <w:r w:rsidRPr="005400BE">
        <w:t xml:space="preserve">sed </w:t>
      </w:r>
      <w:r>
        <w:t>t</w:t>
      </w:r>
      <w:r w:rsidRPr="005400BE">
        <w:t>hroughout</w:t>
      </w:r>
      <w:r>
        <w:t xml:space="preserve"> </w:t>
      </w:r>
      <w:r w:rsidR="00920AA2">
        <w:t xml:space="preserve">the </w:t>
      </w:r>
      <w:r>
        <w:t>report include:</w:t>
      </w:r>
    </w:p>
    <w:p w:rsidR="00AE3684" w:rsidRDefault="00AE3684" w:rsidP="001E0161">
      <w:pPr>
        <w:pStyle w:val="ListParagraph"/>
        <w:numPr>
          <w:ilvl w:val="0"/>
          <w:numId w:val="2"/>
        </w:numPr>
      </w:pPr>
      <w:r>
        <w:t>The National Council for the Blind of Ireland, referred to as NCBI</w:t>
      </w:r>
    </w:p>
    <w:p w:rsidR="00AE3684" w:rsidRPr="006E1885" w:rsidRDefault="00AE3684" w:rsidP="001E0161">
      <w:pPr>
        <w:pStyle w:val="ListParagraph"/>
        <w:numPr>
          <w:ilvl w:val="0"/>
          <w:numId w:val="2"/>
        </w:numPr>
      </w:pPr>
      <w:r w:rsidRPr="006E1885">
        <w:t>The Republic of Ireland</w:t>
      </w:r>
      <w:r>
        <w:t xml:space="preserve">, </w:t>
      </w:r>
      <w:r w:rsidRPr="006E1885">
        <w:t>referred to as Ireland</w:t>
      </w:r>
    </w:p>
    <w:p w:rsidR="00AE3684" w:rsidRPr="006E1885" w:rsidRDefault="00AE3684" w:rsidP="001E0161">
      <w:pPr>
        <w:pStyle w:val="ListParagraph"/>
        <w:numPr>
          <w:ilvl w:val="0"/>
          <w:numId w:val="2"/>
        </w:numPr>
      </w:pPr>
      <w:r w:rsidRPr="006E1885">
        <w:t>Older Adult Services</w:t>
      </w:r>
      <w:r>
        <w:t xml:space="preserve">, </w:t>
      </w:r>
      <w:r w:rsidRPr="006E1885">
        <w:t xml:space="preserve">referred to as OAS and defined as services </w:t>
      </w:r>
      <w:r>
        <w:t>which are either designed for, or are of greatest use by people</w:t>
      </w:r>
      <w:r w:rsidRPr="006E1885">
        <w:t xml:space="preserve"> who are over </w:t>
      </w:r>
      <w:r>
        <w:t>65</w:t>
      </w:r>
      <w:r w:rsidRPr="006E1885">
        <w:t xml:space="preserve"> years</w:t>
      </w:r>
      <w:r>
        <w:t xml:space="preserve"> of age</w:t>
      </w:r>
    </w:p>
    <w:p w:rsidR="00AE3684" w:rsidRDefault="00AE3684" w:rsidP="001E0161">
      <w:pPr>
        <w:pStyle w:val="ListParagraph"/>
        <w:numPr>
          <w:ilvl w:val="1"/>
          <w:numId w:val="2"/>
        </w:numPr>
      </w:pPr>
      <w:r w:rsidRPr="006E1885">
        <w:t xml:space="preserve">Two distinct </w:t>
      </w:r>
      <w:r>
        <w:t>types</w:t>
      </w:r>
      <w:r w:rsidRPr="006E1885">
        <w:t xml:space="preserve"> of OAS </w:t>
      </w:r>
      <w:r>
        <w:t>are</w:t>
      </w:r>
      <w:r w:rsidRPr="006E1885">
        <w:t xml:space="preserve"> identified, each of which provides a unique set of issues:</w:t>
      </w:r>
    </w:p>
    <w:p w:rsidR="00AE3684" w:rsidRDefault="00AE3684" w:rsidP="001E0161">
      <w:pPr>
        <w:pStyle w:val="ListParagraph"/>
        <w:numPr>
          <w:ilvl w:val="1"/>
          <w:numId w:val="2"/>
        </w:numPr>
      </w:pPr>
      <w:r w:rsidRPr="006E1885">
        <w:t xml:space="preserve">the first group </w:t>
      </w:r>
      <w:r>
        <w:t>is</w:t>
      </w:r>
      <w:r w:rsidRPr="006E1885">
        <w:t xml:space="preserve"> </w:t>
      </w:r>
      <w:r>
        <w:t xml:space="preserve">OAS for </w:t>
      </w:r>
      <w:r w:rsidRPr="006E1885">
        <w:t xml:space="preserve">Older Adults from </w:t>
      </w:r>
      <w:r>
        <w:t>65</w:t>
      </w:r>
      <w:r w:rsidRPr="006E1885">
        <w:t>-80 years</w:t>
      </w:r>
      <w:r>
        <w:t xml:space="preserve"> of age, who are referred to as </w:t>
      </w:r>
      <w:r w:rsidRPr="006E1885">
        <w:t>OA</w:t>
      </w:r>
    </w:p>
    <w:p w:rsidR="00AE3684" w:rsidRPr="000E3CFE" w:rsidRDefault="00AE3684" w:rsidP="001E0161">
      <w:pPr>
        <w:pStyle w:val="ListParagraph"/>
        <w:numPr>
          <w:ilvl w:val="1"/>
          <w:numId w:val="2"/>
        </w:numPr>
      </w:pPr>
      <w:r w:rsidRPr="006E1885">
        <w:t xml:space="preserve">the second group </w:t>
      </w:r>
      <w:r>
        <w:t>is</w:t>
      </w:r>
      <w:r w:rsidRPr="006E1885">
        <w:t xml:space="preserve"> </w:t>
      </w:r>
      <w:r>
        <w:t xml:space="preserve">OAS for </w:t>
      </w:r>
      <w:r w:rsidRPr="006E1885">
        <w:t>Significantly Older Adults over 80 years</w:t>
      </w:r>
      <w:r>
        <w:t xml:space="preserve"> of age, who are referred to as </w:t>
      </w:r>
      <w:r w:rsidRPr="006E1885">
        <w:t>SOA</w:t>
      </w:r>
    </w:p>
    <w:p w:rsidR="00AE3684" w:rsidRPr="00574624" w:rsidRDefault="00A36404" w:rsidP="00A36404">
      <w:pPr>
        <w:pStyle w:val="Sub-head"/>
      </w:pPr>
      <w:r>
        <w:t>1.</w:t>
      </w:r>
      <w:r w:rsidR="00713C2E">
        <w:t>2</w:t>
      </w:r>
      <w:r>
        <w:t xml:space="preserve"> </w:t>
      </w:r>
      <w:r w:rsidR="00AE3684" w:rsidRPr="00574624">
        <w:t>The Nature and Aims of the Study</w:t>
      </w:r>
    </w:p>
    <w:p w:rsidR="00AE3684" w:rsidRPr="0027203F" w:rsidRDefault="00AE3684" w:rsidP="00A36404">
      <w:r w:rsidRPr="00574624">
        <w:t xml:space="preserve">This </w:t>
      </w:r>
      <w:r>
        <w:t>report</w:t>
      </w:r>
      <w:r w:rsidRPr="00574624">
        <w:t xml:space="preserve"> discusses</w:t>
      </w:r>
      <w:r>
        <w:t xml:space="preserve"> a study of current and potential future OAS by NCBI. </w:t>
      </w:r>
      <w:r w:rsidRPr="00473F87">
        <w:t xml:space="preserve">The aims of </w:t>
      </w:r>
      <w:r>
        <w:t>the study</w:t>
      </w:r>
      <w:r w:rsidRPr="00473F87">
        <w:t xml:space="preserve"> </w:t>
      </w:r>
      <w:r>
        <w:t>are</w:t>
      </w:r>
      <w:r w:rsidRPr="00473F87">
        <w:t xml:space="preserve"> to</w:t>
      </w:r>
      <w:r>
        <w:t>: d</w:t>
      </w:r>
      <w:r w:rsidRPr="00473F87">
        <w:t xml:space="preserve">evelop inclusive </w:t>
      </w:r>
      <w:r>
        <w:t>service provision</w:t>
      </w:r>
      <w:r w:rsidRPr="00473F87">
        <w:t xml:space="preserve"> </w:t>
      </w:r>
      <w:r>
        <w:t>by</w:t>
      </w:r>
      <w:r w:rsidRPr="00473F87">
        <w:t xml:space="preserve"> NCBI for </w:t>
      </w:r>
      <w:r>
        <w:t>OA and SOA,</w:t>
      </w:r>
      <w:r w:rsidRPr="00473F87">
        <w:t xml:space="preserve"> leading to fuller inclusion of people with low or no vision before during and after being referred to NCBI;</w:t>
      </w:r>
      <w:r>
        <w:t xml:space="preserve"> </w:t>
      </w:r>
      <w:r w:rsidRPr="00473F87">
        <w:t xml:space="preserve">examine why some </w:t>
      </w:r>
      <w:r>
        <w:t>OA and SOA</w:t>
      </w:r>
      <w:r w:rsidRPr="00473F87">
        <w:t xml:space="preserve"> do not fully engage with NCBI</w:t>
      </w:r>
      <w:r>
        <w:t>’s services; and to</w:t>
      </w:r>
      <w:r w:rsidRPr="00473F87">
        <w:t xml:space="preserve"> examine the effects of NCBI</w:t>
      </w:r>
      <w:r>
        <w:t>’s</w:t>
      </w:r>
      <w:r w:rsidRPr="00473F87">
        <w:t xml:space="preserve"> services on health and well-being, particularly mental health</w:t>
      </w:r>
      <w:r>
        <w:t>. In order to achieve these aims, the study examines three forms of data, which inform the development of training and policy:</w:t>
      </w:r>
    </w:p>
    <w:p w:rsidR="00AE3684" w:rsidRPr="00533120" w:rsidRDefault="00AE3684" w:rsidP="001E0161">
      <w:pPr>
        <w:pStyle w:val="ListParagraph"/>
        <w:numPr>
          <w:ilvl w:val="0"/>
          <w:numId w:val="10"/>
        </w:numPr>
      </w:pPr>
      <w:r w:rsidRPr="00533120">
        <w:t>Demographic information from the Irish Census</w:t>
      </w:r>
      <w:r>
        <w:t>, NCBI and academic literature</w:t>
      </w:r>
      <w:r w:rsidRPr="00533120">
        <w:t>, which could identify vulnerable populations, the concentration of OA and SOA and the geographical distribution of OA</w:t>
      </w:r>
    </w:p>
    <w:p w:rsidR="00AE3684" w:rsidRPr="00533120" w:rsidRDefault="00AE3684" w:rsidP="001E0161">
      <w:pPr>
        <w:pStyle w:val="ListParagraph"/>
        <w:numPr>
          <w:ilvl w:val="0"/>
          <w:numId w:val="10"/>
        </w:numPr>
      </w:pPr>
      <w:r w:rsidRPr="00533120">
        <w:t>Services by associations in similar jurisdictions to Ireland</w:t>
      </w:r>
      <w:r w:rsidRPr="00473F87">
        <w:t xml:space="preserve"> (</w:t>
      </w:r>
      <w:r>
        <w:t xml:space="preserve">these jurisdictions included </w:t>
      </w:r>
      <w:r w:rsidRPr="00473F87">
        <w:t>countries, states, provinces, etc.)</w:t>
      </w:r>
      <w:r w:rsidRPr="00533120">
        <w:t xml:space="preserve">, based on </w:t>
      </w:r>
      <w:r>
        <w:t>a number of variables and cultural and political similarity</w:t>
      </w:r>
    </w:p>
    <w:p w:rsidR="00AE3684" w:rsidRPr="00533120" w:rsidRDefault="00AE3684" w:rsidP="001E0161">
      <w:pPr>
        <w:pStyle w:val="ListParagraph"/>
        <w:numPr>
          <w:ilvl w:val="0"/>
          <w:numId w:val="10"/>
        </w:numPr>
      </w:pPr>
      <w:r w:rsidRPr="00533120">
        <w:t>Academic literature on the nature, need and effectiveness of OAS, with special reference to the jurisdictions with similar state systems of social services</w:t>
      </w:r>
    </w:p>
    <w:p w:rsidR="00AE3684" w:rsidRDefault="00AE3684" w:rsidP="000D726E">
      <w:r w:rsidRPr="00574624">
        <w:t xml:space="preserve">During the study, </w:t>
      </w:r>
      <w:r>
        <w:t>electronic and paper documents</w:t>
      </w:r>
      <w:r w:rsidRPr="00574624">
        <w:t xml:space="preserve"> </w:t>
      </w:r>
      <w:r>
        <w:t>were</w:t>
      </w:r>
      <w:r w:rsidRPr="00574624">
        <w:t xml:space="preserve"> investigated</w:t>
      </w:r>
      <w:r>
        <w:t xml:space="preserve"> through</w:t>
      </w:r>
      <w:r w:rsidRPr="00574624">
        <w:t xml:space="preserve"> three phases of analysis</w:t>
      </w:r>
      <w:r>
        <w:t>: the study of Irish Census data was conducted using data available on its website; the study of similar institutions was conducted through a survey of associations in similar jurisdictions, conducted through services advertised on their websites; academic literature was identified through a search of academic databases, in either academic libraries or Web based academic databases - documents</w:t>
      </w:r>
      <w:r w:rsidRPr="00574624">
        <w:t xml:space="preserve"> </w:t>
      </w:r>
      <w:r>
        <w:t xml:space="preserve">published </w:t>
      </w:r>
      <w:r w:rsidRPr="00574624">
        <w:t xml:space="preserve">within the last five years </w:t>
      </w:r>
      <w:r>
        <w:t>were</w:t>
      </w:r>
      <w:r w:rsidRPr="00574624">
        <w:t xml:space="preserve"> </w:t>
      </w:r>
      <w:proofErr w:type="spellStart"/>
      <w:r w:rsidRPr="00574624">
        <w:t>prioritised</w:t>
      </w:r>
      <w:proofErr w:type="spellEnd"/>
      <w:r w:rsidRPr="00B55387">
        <w:t xml:space="preserve"> </w:t>
      </w:r>
      <w:r>
        <w:t>during the search of academic literature</w:t>
      </w:r>
      <w:r w:rsidRPr="00574624">
        <w:t xml:space="preserve">, </w:t>
      </w:r>
      <w:r>
        <w:t xml:space="preserve">although important older </w:t>
      </w:r>
      <w:r w:rsidRPr="00574624">
        <w:t xml:space="preserve">documents were also </w:t>
      </w:r>
      <w:r>
        <w:t>included in the survey as they provided a more detailed landscape of evidence</w:t>
      </w:r>
      <w:r w:rsidRPr="00574624">
        <w:t>.</w:t>
      </w:r>
    </w:p>
    <w:p w:rsidR="00AE3684" w:rsidRDefault="00AE3684" w:rsidP="00A36404">
      <w:r w:rsidRPr="00574624">
        <w:t xml:space="preserve">In addition to reviewing </w:t>
      </w:r>
      <w:r>
        <w:t>documentation</w:t>
      </w:r>
      <w:r w:rsidRPr="00574624">
        <w:t xml:space="preserve">, the analysis in this study was also designed to </w:t>
      </w:r>
      <w:r>
        <w:t>develop a model of inclusive capital</w:t>
      </w:r>
      <w:r w:rsidRPr="00574624">
        <w:rPr>
          <w:vertAlign w:val="superscript"/>
        </w:rPr>
        <w:t>1</w:t>
      </w:r>
      <w:r w:rsidRPr="00F740D6">
        <w:t xml:space="preserve"> </w:t>
      </w:r>
      <w:r w:rsidRPr="00574624">
        <w:t>as an instrument of</w:t>
      </w:r>
      <w:r>
        <w:t xml:space="preserve"> supporting OA and SOA</w:t>
      </w:r>
      <w:r w:rsidRPr="00574624">
        <w:t>.</w:t>
      </w:r>
      <w:r>
        <w:t xml:space="preserve"> This model had been developed during an earlier study of cultural inclusion, and identified issues that were of particular relevance to individuals with disabilities.</w:t>
      </w:r>
    </w:p>
    <w:p w:rsidR="006C52F6" w:rsidRDefault="006C52F6" w:rsidP="006C52F6">
      <w:pPr>
        <w:pStyle w:val="LSEQuote"/>
      </w:pPr>
      <w:r w:rsidRPr="00A44BA6">
        <w:t>“</w:t>
      </w:r>
      <w:r w:rsidR="00952379" w:rsidRPr="00952379">
        <w:t>Services by associations in similar jurisdictions to Ireland (these jurisdictions included countries, states, provinces, etc.), based on a number of variables and cultural and political similarity</w:t>
      </w:r>
      <w:r w:rsidRPr="00A44BA6">
        <w:t>.”</w:t>
      </w:r>
    </w:p>
    <w:p w:rsidR="006C52F6" w:rsidRDefault="006C52F6">
      <w:pPr>
        <w:rPr>
          <w:rFonts w:ascii="Roboto" w:eastAsia="Roboto" w:hAnsi="Roboto" w:cs="Roboto"/>
          <w:b/>
          <w:bCs/>
          <w:color w:val="1A1918"/>
        </w:rPr>
      </w:pPr>
      <w:r>
        <w:br w:type="page"/>
      </w:r>
    </w:p>
    <w:p w:rsidR="00AE3684" w:rsidRDefault="00A36404" w:rsidP="006C52F6">
      <w:pPr>
        <w:pStyle w:val="Heading"/>
      </w:pPr>
      <w:r>
        <w:lastRenderedPageBreak/>
        <w:t xml:space="preserve">2 </w:t>
      </w:r>
      <w:r w:rsidR="00AE3684" w:rsidRPr="00B66FC3">
        <w:t>Context</w:t>
      </w:r>
      <w:r w:rsidR="00AE3684">
        <w:t xml:space="preserve"> of, and Model Used During, the Study</w:t>
      </w:r>
    </w:p>
    <w:p w:rsidR="006C52F6" w:rsidRPr="00B66FC3" w:rsidRDefault="006C52F6" w:rsidP="006C52F6">
      <w:pPr>
        <w:pStyle w:val="Sub-head"/>
      </w:pPr>
      <w:r>
        <w:t>2.1 NCBI</w:t>
      </w:r>
    </w:p>
    <w:p w:rsidR="00AE3684" w:rsidRPr="00473F87" w:rsidRDefault="00AE3684" w:rsidP="00A36404">
      <w:r w:rsidRPr="00473F87">
        <w:t>NCBI has recently committed to move from a generic geographic patch model of service provision to a life cycle model with separate focus and delivery elements specific to different age groups. In moving to a life cycle model of service provision, NCBI are wary of the assumption that existing service</w:t>
      </w:r>
      <w:r>
        <w:t>s</w:t>
      </w:r>
      <w:r w:rsidRPr="00473F87">
        <w:t xml:space="preserve"> for older people </w:t>
      </w:r>
      <w:r>
        <w:t>are</w:t>
      </w:r>
      <w:r w:rsidRPr="00473F87">
        <w:t xml:space="preserve"> acceptable as </w:t>
      </w:r>
      <w:r>
        <w:t>they are</w:t>
      </w:r>
      <w:r w:rsidRPr="00473F87">
        <w:t xml:space="preserve"> and </w:t>
      </w:r>
      <w:r>
        <w:t>do</w:t>
      </w:r>
      <w:r w:rsidRPr="00473F87">
        <w:t xml:space="preserve"> not need further innovation or development. Particular areas of focus for future development include:</w:t>
      </w:r>
    </w:p>
    <w:p w:rsidR="00AE3684" w:rsidRPr="00B55387" w:rsidRDefault="00AE3684" w:rsidP="001E0161">
      <w:pPr>
        <w:pStyle w:val="ListParagraph"/>
        <w:numPr>
          <w:ilvl w:val="0"/>
          <w:numId w:val="1"/>
        </w:numPr>
      </w:pPr>
      <w:proofErr w:type="spellStart"/>
      <w:r w:rsidRPr="00B55387">
        <w:t>Digitalisation</w:t>
      </w:r>
      <w:proofErr w:type="spellEnd"/>
      <w:r w:rsidRPr="00B55387">
        <w:t xml:space="preserve"> – the integration of digital technologies into everyday life is changing the way services are provided around the activities of daily living. This</w:t>
      </w:r>
      <w:r>
        <w:t xml:space="preserve"> </w:t>
      </w:r>
      <w:proofErr w:type="spellStart"/>
      <w:r>
        <w:t>digitalisation</w:t>
      </w:r>
      <w:proofErr w:type="spellEnd"/>
      <w:r w:rsidRPr="00B55387">
        <w:t xml:space="preserve"> needs to be structured into the basic service offer rather than being a referral to a specialist IT trainer.</w:t>
      </w:r>
    </w:p>
    <w:p w:rsidR="00AE3684" w:rsidRPr="00B55387" w:rsidRDefault="00AE3684" w:rsidP="001E0161">
      <w:pPr>
        <w:pStyle w:val="ListParagraph"/>
        <w:numPr>
          <w:ilvl w:val="0"/>
          <w:numId w:val="1"/>
        </w:numPr>
      </w:pPr>
      <w:r w:rsidRPr="00B55387">
        <w:t>Peer support – the correct model of peer support for older people with vision loss needs further definition</w:t>
      </w:r>
    </w:p>
    <w:p w:rsidR="00AE3684" w:rsidRPr="00B55387" w:rsidRDefault="00AE3684" w:rsidP="001E0161">
      <w:pPr>
        <w:pStyle w:val="ListParagraph"/>
        <w:numPr>
          <w:ilvl w:val="0"/>
          <w:numId w:val="1"/>
        </w:numPr>
      </w:pPr>
      <w:r w:rsidRPr="00B55387">
        <w:t>Support for older people who are in long term residential care</w:t>
      </w:r>
    </w:p>
    <w:p w:rsidR="00AE3684" w:rsidRPr="00B55387" w:rsidRDefault="00AE3684" w:rsidP="001E0161">
      <w:pPr>
        <w:pStyle w:val="ListParagraph"/>
        <w:numPr>
          <w:ilvl w:val="0"/>
          <w:numId w:val="1"/>
        </w:numPr>
      </w:pPr>
      <w:r w:rsidRPr="00B55387">
        <w:t xml:space="preserve">Further integration with OAS e.g. the falls prevention </w:t>
      </w:r>
      <w:proofErr w:type="spellStart"/>
      <w:r w:rsidRPr="00B55387">
        <w:t>programmes</w:t>
      </w:r>
      <w:proofErr w:type="spellEnd"/>
    </w:p>
    <w:p w:rsidR="00AE3684" w:rsidRPr="00B55387" w:rsidRDefault="00AE3684" w:rsidP="001E0161">
      <w:pPr>
        <w:pStyle w:val="ListParagraph"/>
        <w:numPr>
          <w:ilvl w:val="0"/>
          <w:numId w:val="1"/>
        </w:numPr>
      </w:pPr>
      <w:r w:rsidRPr="00B55387">
        <w:t xml:space="preserve">Further support models for active participation – e.g. the development of a volunteer support </w:t>
      </w:r>
      <w:proofErr w:type="spellStart"/>
      <w:r w:rsidRPr="00B55387">
        <w:t>programme</w:t>
      </w:r>
      <w:proofErr w:type="spellEnd"/>
    </w:p>
    <w:p w:rsidR="00AE3684" w:rsidRPr="00B66FC3" w:rsidRDefault="006C52F6" w:rsidP="00A36404">
      <w:pPr>
        <w:pStyle w:val="Sub-head"/>
      </w:pPr>
      <w:r>
        <w:t>2.2</w:t>
      </w:r>
      <w:r w:rsidR="00A36404">
        <w:t xml:space="preserve"> </w:t>
      </w:r>
      <w:r w:rsidR="00AE3684" w:rsidRPr="00B66FC3">
        <w:t>The Problem</w:t>
      </w:r>
      <w:r w:rsidR="00AE3684">
        <w:t xml:space="preserve"> Investigated in this Report</w:t>
      </w:r>
    </w:p>
    <w:p w:rsidR="00AE3684" w:rsidRPr="00473F87" w:rsidRDefault="00AE3684" w:rsidP="00D93062">
      <w:r w:rsidRPr="00473F87">
        <w:t xml:space="preserve">NCBI have identified </w:t>
      </w:r>
      <w:r>
        <w:t>e</w:t>
      </w:r>
      <w:r w:rsidRPr="00473F87">
        <w:t xml:space="preserve">ight issues </w:t>
      </w:r>
      <w:r>
        <w:t xml:space="preserve">with its </w:t>
      </w:r>
      <w:r w:rsidRPr="00473F87">
        <w:t xml:space="preserve">OAS </w:t>
      </w:r>
      <w:r>
        <w:t>that need</w:t>
      </w:r>
      <w:r w:rsidRPr="00473F87">
        <w:t xml:space="preserve"> development:</w:t>
      </w:r>
    </w:p>
    <w:p w:rsidR="00AE3684" w:rsidRDefault="00AE3684" w:rsidP="001E0161">
      <w:pPr>
        <w:pStyle w:val="ListParagraph"/>
        <w:numPr>
          <w:ilvl w:val="0"/>
          <w:numId w:val="3"/>
        </w:numPr>
      </w:pPr>
      <w:r w:rsidRPr="00321F9B">
        <w:t xml:space="preserve">Current provision is mostly based on </w:t>
      </w:r>
      <w:r>
        <w:t>the support of the</w:t>
      </w:r>
      <w:r w:rsidRPr="00321F9B">
        <w:t xml:space="preserve"> workforce</w:t>
      </w:r>
      <w:r>
        <w:t xml:space="preserve"> with low or no vision</w:t>
      </w:r>
      <w:r w:rsidRPr="00321F9B">
        <w:t xml:space="preserve"> – i.e. providing training and support for people of working age who need ICT skills to support their day-to-day work and career. This raises </w:t>
      </w:r>
      <w:r>
        <w:t>three separate</w:t>
      </w:r>
      <w:r w:rsidRPr="00321F9B">
        <w:t xml:space="preserve"> issues:</w:t>
      </w:r>
      <w:r>
        <w:t xml:space="preserve"> 1) p</w:t>
      </w:r>
      <w:r w:rsidRPr="00321F9B">
        <w:t>eople with low or no vision are mostly over retirement age, and not in need of career development</w:t>
      </w:r>
      <w:r>
        <w:t>; 2) i</w:t>
      </w:r>
      <w:r w:rsidRPr="00321F9B">
        <w:t xml:space="preserve">t is unknown what form of training should be </w:t>
      </w:r>
      <w:r w:rsidR="006C54D7">
        <w:pgNum/>
      </w:r>
      <w:proofErr w:type="spellStart"/>
      <w:r w:rsidR="006C54D7">
        <w:t>pecialized</w:t>
      </w:r>
      <w:proofErr w:type="spellEnd"/>
      <w:r w:rsidRPr="00321F9B">
        <w:t xml:space="preserve"> for professionals working with people over the age of retirement – e.g. training to reduce social isolation? Training to perform </w:t>
      </w:r>
      <w:r w:rsidRPr="00321F9B">
        <w:t>particular tasks?</w:t>
      </w:r>
      <w:r>
        <w:t xml:space="preserve"> 3) w</w:t>
      </w:r>
      <w:r w:rsidRPr="00321F9B">
        <w:t>hether IT training is needed for people after they leave work, and if it is needed what training should be delivered</w:t>
      </w:r>
      <w:r>
        <w:t>?</w:t>
      </w:r>
    </w:p>
    <w:p w:rsidR="00AE3684" w:rsidRDefault="00AE3684" w:rsidP="001E0161">
      <w:pPr>
        <w:pStyle w:val="ListParagraph"/>
        <w:numPr>
          <w:ilvl w:val="0"/>
          <w:numId w:val="3"/>
        </w:numPr>
      </w:pPr>
      <w:r>
        <w:t>A</w:t>
      </w:r>
      <w:r w:rsidRPr="00321F9B">
        <w:t xml:space="preserve">lthough NCBI is a national </w:t>
      </w:r>
      <w:proofErr w:type="spellStart"/>
      <w:r w:rsidR="000D3FCD">
        <w:t>organisation</w:t>
      </w:r>
      <w:proofErr w:type="spellEnd"/>
      <w:r w:rsidRPr="00321F9B">
        <w:t>, much of the</w:t>
      </w:r>
      <w:r w:rsidR="000D3FCD">
        <w:t>ir</w:t>
      </w:r>
      <w:r w:rsidRPr="00321F9B">
        <w:t xml:space="preserve"> training needs to be on a regional level. This raises its own unique issues: </w:t>
      </w:r>
      <w:r>
        <w:t>1) m</w:t>
      </w:r>
      <w:r w:rsidRPr="00321F9B">
        <w:t>any people have to travel to large urban areas sometimes outside their own counties</w:t>
      </w:r>
      <w:r>
        <w:t xml:space="preserve"> </w:t>
      </w:r>
      <w:r w:rsidRPr="00321F9B">
        <w:t>to get training – although public transport is often available, access and time of travel provide further issues</w:t>
      </w:r>
      <w:r>
        <w:t>; 2) t</w:t>
      </w:r>
      <w:r w:rsidRPr="00321F9B">
        <w:t>here are a relatively small number of consultants who can provide ICT training, and these</w:t>
      </w:r>
      <w:r>
        <w:t xml:space="preserve"> consultants</w:t>
      </w:r>
      <w:r w:rsidRPr="00321F9B">
        <w:t xml:space="preserve"> are </w:t>
      </w:r>
      <w:r>
        <w:t>also</w:t>
      </w:r>
      <w:r w:rsidRPr="00321F9B">
        <w:t xml:space="preserve"> based in large urban areas</w:t>
      </w:r>
    </w:p>
    <w:p w:rsidR="00AE3684" w:rsidRDefault="00AE3684" w:rsidP="001E0161">
      <w:pPr>
        <w:pStyle w:val="ListParagraph"/>
        <w:numPr>
          <w:ilvl w:val="0"/>
          <w:numId w:val="3"/>
        </w:numPr>
      </w:pPr>
      <w:r w:rsidRPr="00321F9B">
        <w:t>Travelling for professionals from NCBI raises further issues, as these specialist staff are spread thin</w:t>
      </w:r>
    </w:p>
    <w:p w:rsidR="00AE3684" w:rsidRDefault="00AE3684" w:rsidP="001E0161">
      <w:pPr>
        <w:pStyle w:val="ListParagraph"/>
        <w:numPr>
          <w:ilvl w:val="0"/>
          <w:numId w:val="3"/>
        </w:numPr>
      </w:pPr>
      <w:r w:rsidRPr="00321F9B">
        <w:t>Clients are referred to NCBI largely because low or no vision is seen to be their most significant impairment, however many clients have additional needs related to old age and other impairments</w:t>
      </w:r>
    </w:p>
    <w:p w:rsidR="00AE3684" w:rsidRDefault="00AE3684" w:rsidP="001E0161">
      <w:pPr>
        <w:pStyle w:val="ListParagraph"/>
        <w:numPr>
          <w:ilvl w:val="0"/>
          <w:numId w:val="3"/>
        </w:numPr>
      </w:pPr>
      <w:r w:rsidRPr="00321F9B">
        <w:t xml:space="preserve">Training at the moment is largely generic – e.g. the use of word processing software – rather than </w:t>
      </w:r>
      <w:r w:rsidR="006C54D7">
        <w:pgNum/>
      </w:r>
      <w:proofErr w:type="spellStart"/>
      <w:r w:rsidR="006C54D7">
        <w:t>pecialized</w:t>
      </w:r>
      <w:proofErr w:type="spellEnd"/>
      <w:r w:rsidRPr="00321F9B">
        <w:t xml:space="preserve"> – e.g. the use of technologies within shopping or cultural heritage </w:t>
      </w:r>
      <w:r>
        <w:t>environments</w:t>
      </w:r>
    </w:p>
    <w:p w:rsidR="00AE3684" w:rsidRDefault="00AE3684" w:rsidP="001E0161">
      <w:pPr>
        <w:pStyle w:val="ListParagraph"/>
        <w:numPr>
          <w:ilvl w:val="0"/>
          <w:numId w:val="3"/>
        </w:numPr>
      </w:pPr>
      <w:r w:rsidRPr="00321F9B">
        <w:t>Many clients have supporters – often family members – who could also be involved in training and provide information about training needs. However, during training sessions the supporters leave those with low or no vision to be trained alone, as this provides time for them to have a break</w:t>
      </w:r>
    </w:p>
    <w:p w:rsidR="00AE3684" w:rsidRPr="00321F9B" w:rsidRDefault="00AE3684" w:rsidP="001E0161">
      <w:pPr>
        <w:pStyle w:val="ListParagraph"/>
        <w:numPr>
          <w:ilvl w:val="0"/>
          <w:numId w:val="3"/>
        </w:numPr>
      </w:pPr>
      <w:r>
        <w:t xml:space="preserve">Large parts of </w:t>
      </w:r>
      <w:r w:rsidRPr="00321F9B">
        <w:t>Ireland</w:t>
      </w:r>
      <w:r>
        <w:t xml:space="preserve"> are</w:t>
      </w:r>
      <w:r w:rsidRPr="00321F9B">
        <w:t xml:space="preserve"> rural</w:t>
      </w:r>
      <w:r>
        <w:t>,</w:t>
      </w:r>
      <w:r w:rsidRPr="00321F9B">
        <w:t xml:space="preserve"> with</w:t>
      </w:r>
      <w:r>
        <w:t xml:space="preserve"> many of the</w:t>
      </w:r>
      <w:r w:rsidRPr="00321F9B">
        <w:t xml:space="preserve"> urban areas </w:t>
      </w:r>
      <w:r>
        <w:t>being</w:t>
      </w:r>
      <w:r w:rsidRPr="00321F9B">
        <w:t xml:space="preserve"> distributed </w:t>
      </w:r>
      <w:r>
        <w:t>near</w:t>
      </w:r>
      <w:r w:rsidRPr="00321F9B">
        <w:t xml:space="preserve"> the coastline</w:t>
      </w:r>
      <w:r>
        <w:t>,</w:t>
      </w:r>
      <w:r w:rsidRPr="00321F9B">
        <w:t xml:space="preserve"> mak</w:t>
      </w:r>
      <w:r>
        <w:t>ing</w:t>
      </w:r>
      <w:r w:rsidRPr="00321F9B">
        <w:t xml:space="preserve"> </w:t>
      </w:r>
      <w:r>
        <w:t xml:space="preserve">the </w:t>
      </w:r>
      <w:r w:rsidRPr="00321F9B">
        <w:t>provi</w:t>
      </w:r>
      <w:r>
        <w:t>sion of</w:t>
      </w:r>
      <w:r w:rsidRPr="00321F9B">
        <w:t xml:space="preserve"> OAS particularly challenging</w:t>
      </w:r>
    </w:p>
    <w:p w:rsidR="00AE3684" w:rsidRDefault="00AE3684" w:rsidP="00D93062">
      <w:r w:rsidRPr="00473F87">
        <w:t xml:space="preserve">The model of data analysis </w:t>
      </w:r>
      <w:r>
        <w:t>was</w:t>
      </w:r>
      <w:r w:rsidRPr="00473F87">
        <w:t xml:space="preserve"> conducted</w:t>
      </w:r>
      <w:r>
        <w:t xml:space="preserve"> using a</w:t>
      </w:r>
      <w:r w:rsidRPr="00473F87">
        <w:t xml:space="preserve"> model of inclusive capital</w:t>
      </w:r>
      <w:r>
        <w:t>. This model</w:t>
      </w:r>
      <w:r w:rsidRPr="00473F87">
        <w:t xml:space="preserve"> was designed to facilitate social and cultural inclusion of people with disabilities, such as vision loss</w:t>
      </w:r>
      <w:r>
        <w:rPr>
          <w:rStyle w:val="FootnoteReference"/>
          <w:color w:val="000000" w:themeColor="text1"/>
          <w:sz w:val="24"/>
          <w:szCs w:val="24"/>
        </w:rPr>
        <w:footnoteReference w:id="1"/>
      </w:r>
      <w:r w:rsidRPr="00473F87">
        <w:t>.</w:t>
      </w:r>
      <w:r>
        <w:t xml:space="preserve"> This is outlined in the section below.</w:t>
      </w:r>
    </w:p>
    <w:p w:rsidR="00523CEB" w:rsidRDefault="00523CEB" w:rsidP="006C54D7">
      <w:pPr>
        <w:pStyle w:val="Sub-head"/>
      </w:pPr>
    </w:p>
    <w:p w:rsidR="00AE3684" w:rsidRPr="00B66FC3" w:rsidRDefault="006C52F6" w:rsidP="006C54D7">
      <w:pPr>
        <w:pStyle w:val="Sub-head"/>
      </w:pPr>
      <w:r>
        <w:lastRenderedPageBreak/>
        <w:t>2.3</w:t>
      </w:r>
      <w:r w:rsidR="006C54D7">
        <w:t xml:space="preserve"> </w:t>
      </w:r>
      <w:r w:rsidR="00AE3684" w:rsidRPr="00B66FC3">
        <w:t>Inclusive Capital</w:t>
      </w:r>
    </w:p>
    <w:p w:rsidR="00AE3684" w:rsidRPr="00A75A5C" w:rsidRDefault="00AE3684" w:rsidP="006C54D7">
      <w:r>
        <w:t>Material p</w:t>
      </w:r>
      <w:r w:rsidRPr="00A75A5C">
        <w:t>hilosophies of human value</w:t>
      </w:r>
      <w:r>
        <w:t>, which see people as having biological, psychological and social needs,</w:t>
      </w:r>
      <w:r w:rsidRPr="00A75A5C">
        <w:t xml:space="preserve"> have evolved chronologically since the Enlightenment</w:t>
      </w:r>
      <w:r>
        <w:t xml:space="preserve"> through to present</w:t>
      </w:r>
      <w:r>
        <w:rPr>
          <w:rStyle w:val="FootnoteReference"/>
          <w:color w:val="000000" w:themeColor="text1"/>
          <w:sz w:val="24"/>
          <w:szCs w:val="24"/>
        </w:rPr>
        <w:footnoteReference w:id="2"/>
      </w:r>
      <w:r w:rsidRPr="00A75A5C">
        <w:t xml:space="preserve">. Human value, referred to as intangible </w:t>
      </w:r>
      <w:r>
        <w:t>habits and skills and unspoken knowledge</w:t>
      </w:r>
      <w:r w:rsidRPr="00A75A5C">
        <w:t xml:space="preserve">, is an effective way of understanding our personal </w:t>
      </w:r>
      <w:r>
        <w:t>needs</w:t>
      </w:r>
      <w:r w:rsidRPr="00A75A5C">
        <w:t xml:space="preserve">. </w:t>
      </w:r>
      <w:r>
        <w:t>H</w:t>
      </w:r>
      <w:r w:rsidRPr="00A75A5C">
        <w:t>uman values</w:t>
      </w:r>
      <w:r>
        <w:t xml:space="preserve"> also</w:t>
      </w:r>
      <w:r w:rsidRPr="00A75A5C">
        <w:t xml:space="preserve"> shape </w:t>
      </w:r>
      <w:r>
        <w:t xml:space="preserve">our </w:t>
      </w:r>
      <w:r w:rsidRPr="00A75A5C">
        <w:t>individual identity and behavior, and our ways of thinking about motives and desires</w:t>
      </w:r>
      <w:r>
        <w:t xml:space="preserve"> that can drive service provision for OA and SOA</w:t>
      </w:r>
      <w:r w:rsidRPr="00A75A5C">
        <w:t>.</w:t>
      </w:r>
    </w:p>
    <w:p w:rsidR="00AE3684" w:rsidRDefault="00AE3684" w:rsidP="006C54D7">
      <w:r>
        <w:t>P</w:t>
      </w:r>
      <w:r w:rsidRPr="00A75A5C">
        <w:t xml:space="preserve">revious philosophies of human values have a common theme: they value a </w:t>
      </w:r>
      <w:r w:rsidRPr="00321F9B">
        <w:rPr>
          <w:i/>
        </w:rPr>
        <w:t>sense of inclusion</w:t>
      </w:r>
      <w:r w:rsidRPr="00A75A5C">
        <w:t xml:space="preserve"> as part of our human condition to feel part of a network. That is, they </w:t>
      </w:r>
      <w:proofErr w:type="spellStart"/>
      <w:r w:rsidRPr="00A75A5C">
        <w:t>hypothesise</w:t>
      </w:r>
      <w:proofErr w:type="spellEnd"/>
      <w:r w:rsidRPr="00A75A5C">
        <w:t xml:space="preserve"> the value of family, friends, social class, religion</w:t>
      </w:r>
      <w:r>
        <w:t xml:space="preserve"> or </w:t>
      </w:r>
      <w:r w:rsidRPr="00A75A5C">
        <w:t xml:space="preserve">ethnicity as a community. </w:t>
      </w:r>
      <w:r>
        <w:t>Therefore</w:t>
      </w:r>
      <w:r w:rsidRPr="00A75A5C">
        <w:t>, these philosophies agree it is important, if not instinctive, for people to network and learn through others</w:t>
      </w:r>
      <w:r>
        <w:t xml:space="preserve"> – i.e.</w:t>
      </w:r>
      <w:r w:rsidRPr="00A75A5C">
        <w:t xml:space="preserve"> although there are better and worse ways of networking and learning and we might be encouraged to use one way over another, we </w:t>
      </w:r>
      <w:r>
        <w:t>all</w:t>
      </w:r>
      <w:r w:rsidRPr="00A75A5C">
        <w:t xml:space="preserve"> network and learn</w:t>
      </w:r>
      <w:r>
        <w:t>, and n</w:t>
      </w:r>
      <w:r w:rsidRPr="00A75A5C">
        <w:t>etworking and learning are part of our human condition</w:t>
      </w:r>
      <w:r>
        <w:t>.</w:t>
      </w:r>
    </w:p>
    <w:p w:rsidR="00AE3684" w:rsidRPr="00A75A5C" w:rsidRDefault="00AE3684" w:rsidP="006C54D7">
      <w:r>
        <w:t>Through public services we also</w:t>
      </w:r>
      <w:r w:rsidRPr="00A75A5C">
        <w:t xml:space="preserve"> seek out inclusion as a value to feel our sense of inclusion, and this inclusion fosters our sense of value. Consequently, to develop inclusive capital </w:t>
      </w:r>
      <w:r>
        <w:t xml:space="preserve">can </w:t>
      </w:r>
      <w:r w:rsidRPr="00A75A5C">
        <w:t>also provide us with a sense of value.</w:t>
      </w:r>
      <w:r>
        <w:t xml:space="preserve"> Previously, it has been</w:t>
      </w:r>
      <w:r w:rsidRPr="00A75A5C">
        <w:t xml:space="preserve"> argue</w:t>
      </w:r>
      <w:r>
        <w:t>d</w:t>
      </w:r>
      <w:r w:rsidRPr="00A75A5C">
        <w:t xml:space="preserve"> that acquiring inclusive capital is especially important </w:t>
      </w:r>
      <w:r>
        <w:t xml:space="preserve">for those who are </w:t>
      </w:r>
      <w:r w:rsidRPr="00A75A5C">
        <w:t>disabled o</w:t>
      </w:r>
      <w:r>
        <w:t>r</w:t>
      </w:r>
      <w:r w:rsidRPr="00A75A5C">
        <w:t xml:space="preserve"> older</w:t>
      </w:r>
      <w:r>
        <w:t>,</w:t>
      </w:r>
      <w:r w:rsidRPr="00A75A5C">
        <w:t xml:space="preserve"> because</w:t>
      </w:r>
      <w:r>
        <w:t xml:space="preserve"> older </w:t>
      </w:r>
      <w:r w:rsidRPr="00A75A5C">
        <w:t>people</w:t>
      </w:r>
      <w:r>
        <w:t xml:space="preserve"> or those</w:t>
      </w:r>
      <w:r w:rsidRPr="00A75A5C">
        <w:t xml:space="preserve"> with disabilities are more likely to find barriers to accessing the first steps of inclusive capital</w:t>
      </w:r>
      <w:r>
        <w:rPr>
          <w:rStyle w:val="FootnoteReference"/>
          <w:color w:val="000000" w:themeColor="text1"/>
          <w:sz w:val="24"/>
          <w:szCs w:val="24"/>
        </w:rPr>
        <w:footnoteReference w:id="3"/>
      </w:r>
      <w:r w:rsidRPr="00A75A5C">
        <w:t xml:space="preserve">. </w:t>
      </w:r>
      <w:r>
        <w:t>These barriers lead</w:t>
      </w:r>
      <w:r w:rsidRPr="00A75A5C">
        <w:t xml:space="preserve"> to a lessening of </w:t>
      </w:r>
      <w:r>
        <w:t>a</w:t>
      </w:r>
      <w:r w:rsidRPr="00A75A5C">
        <w:t xml:space="preserve"> sense of inclusion in mainstream society, and to a growing sense of social exclusion and isolation. For instance, people </w:t>
      </w:r>
      <w:r>
        <w:t xml:space="preserve">with disabilities </w:t>
      </w:r>
      <w:r w:rsidRPr="00A75A5C">
        <w:t xml:space="preserve">often find it harder to access technologies they can interact with, or to access the environments of cultural institutions. </w:t>
      </w:r>
      <w:r>
        <w:t>People with disabilities</w:t>
      </w:r>
      <w:r w:rsidRPr="00A75A5C">
        <w:t xml:space="preserve"> are </w:t>
      </w:r>
      <w:r>
        <w:t xml:space="preserve">also </w:t>
      </w:r>
      <w:r w:rsidRPr="00A75A5C">
        <w:t xml:space="preserve">less likely to have their needs understood, or be thought of as </w:t>
      </w:r>
      <w:r w:rsidRPr="00A75A5C">
        <w:t>needing access to the learning of people</w:t>
      </w:r>
      <w:r>
        <w:t xml:space="preserve"> without disabilities</w:t>
      </w:r>
      <w:r w:rsidRPr="00A75A5C">
        <w:t xml:space="preserve">. They are often thought to want </w:t>
      </w:r>
      <w:r>
        <w:t>services that separate them from the community they were raised in</w:t>
      </w:r>
      <w:r w:rsidRPr="00A75A5C">
        <w:t>.</w:t>
      </w:r>
    </w:p>
    <w:p w:rsidR="00AE3684" w:rsidRPr="00A75A5C" w:rsidRDefault="00AE3684" w:rsidP="006C54D7">
      <w:r w:rsidRPr="00A75A5C">
        <w:t xml:space="preserve">The physical nature of some disabilities or infirmities caused by old age can also lessen access to acquiring inclusive capital. For instance, </w:t>
      </w:r>
      <w:r>
        <w:t>developing</w:t>
      </w:r>
      <w:r w:rsidRPr="00A75A5C">
        <w:t xml:space="preserve"> </w:t>
      </w:r>
      <w:r>
        <w:t>sight loss</w:t>
      </w:r>
      <w:r w:rsidRPr="00A75A5C">
        <w:t xml:space="preserve"> later in life can make it harder to join group discussions that are an essential part of networking for gaining information</w:t>
      </w:r>
      <w:r>
        <w:t xml:space="preserve">. More particularly, </w:t>
      </w:r>
      <w:r w:rsidRPr="00A75A5C">
        <w:t>some people who have late disabilities often do not learn Braille or identify themselves as being disabled</w:t>
      </w:r>
      <w:r>
        <w:rPr>
          <w:rStyle w:val="FootnoteReference"/>
          <w:color w:val="000000" w:themeColor="text1"/>
          <w:sz w:val="24"/>
          <w:szCs w:val="24"/>
        </w:rPr>
        <w:footnoteReference w:id="4"/>
      </w:r>
      <w:r w:rsidRPr="00A75A5C">
        <w:t xml:space="preserve">. Physical disabilities may also make it harder to find transport or access cultural institutions or physical networks. Late acquired learning disabilities can similarly be thought to restrict access to mainstream learning, and the spaces and places of cultural institutions that people once enjoyed. </w:t>
      </w:r>
      <w:r>
        <w:t>I</w:t>
      </w:r>
      <w:r w:rsidRPr="00A75A5C">
        <w:t xml:space="preserve">nstitutions </w:t>
      </w:r>
      <w:r>
        <w:t>consequently</w:t>
      </w:r>
      <w:r w:rsidRPr="00A75A5C">
        <w:t xml:space="preserve"> need to understand this sense of inclusion.</w:t>
      </w:r>
    </w:p>
    <w:p w:rsidR="00AE3684" w:rsidRPr="00A75A5C" w:rsidRDefault="00AE3684" w:rsidP="006C54D7">
      <w:r w:rsidRPr="00A75A5C">
        <w:t xml:space="preserve">Practically, institutions must also understand ways in which they can adapt spaces and places – both their physical and virtual environments. These institutions and teachers also need to adapt their own </w:t>
      </w:r>
      <w:proofErr w:type="spellStart"/>
      <w:r w:rsidRPr="00A75A5C">
        <w:t>behaviour</w:t>
      </w:r>
      <w:proofErr w:type="spellEnd"/>
      <w:r w:rsidRPr="00A75A5C">
        <w:t xml:space="preserve"> to develop habits and practices that recognize a sense of inclusion in others. </w:t>
      </w:r>
      <w:r>
        <w:t>Subsequently, t</w:t>
      </w:r>
      <w:r w:rsidRPr="00A75A5C">
        <w:t xml:space="preserve">o </w:t>
      </w:r>
      <w:r>
        <w:t>provide a context for the use of inclusive capital as a means of analysing NCBI’s OAS</w:t>
      </w:r>
      <w:r w:rsidRPr="00A75A5C">
        <w:t xml:space="preserve">, </w:t>
      </w:r>
      <w:r>
        <w:t>five stages of</w:t>
      </w:r>
      <w:r w:rsidRPr="00A75A5C">
        <w:t xml:space="preserve"> developing inclusive capital</w:t>
      </w:r>
      <w:r>
        <w:t xml:space="preserve"> that were used to filter the focus the search of OAS are discussed</w:t>
      </w:r>
      <w:r w:rsidRPr="00A75A5C">
        <w:t>.</w:t>
      </w:r>
    </w:p>
    <w:p w:rsidR="00AE3684" w:rsidRPr="00B66FC3" w:rsidRDefault="00713C2E" w:rsidP="006C54D7">
      <w:pPr>
        <w:pStyle w:val="Sub-head"/>
      </w:pPr>
      <w:r>
        <w:t>2</w:t>
      </w:r>
      <w:r w:rsidR="006C54D7">
        <w:t>.</w:t>
      </w:r>
      <w:r w:rsidR="00395143">
        <w:t>4</w:t>
      </w:r>
      <w:r w:rsidR="006C54D7">
        <w:t xml:space="preserve"> </w:t>
      </w:r>
      <w:r w:rsidR="00AE3684" w:rsidRPr="00B66FC3">
        <w:t xml:space="preserve">Five Stages of </w:t>
      </w:r>
      <w:r w:rsidR="00AE3684">
        <w:t>Providing</w:t>
      </w:r>
      <w:r w:rsidR="00AE3684" w:rsidRPr="00B66FC3">
        <w:t xml:space="preserve"> Inclusive Capital</w:t>
      </w:r>
      <w:r w:rsidR="00AE3684">
        <w:t xml:space="preserve"> Through OAS</w:t>
      </w:r>
    </w:p>
    <w:p w:rsidR="00AE3684" w:rsidRPr="00A75A5C" w:rsidRDefault="00AE3684" w:rsidP="006C54D7">
      <w:r w:rsidRPr="00A75A5C">
        <w:t xml:space="preserve">The first stage in </w:t>
      </w:r>
      <w:r>
        <w:t>providing services</w:t>
      </w:r>
      <w:r w:rsidRPr="00A75A5C">
        <w:t xml:space="preserve"> is </w:t>
      </w:r>
      <w:r>
        <w:t xml:space="preserve">providing </w:t>
      </w:r>
      <w:r w:rsidRPr="00793854">
        <w:rPr>
          <w:i/>
        </w:rPr>
        <w:t>connections and bonds</w:t>
      </w:r>
      <w:r w:rsidRPr="00A75A5C">
        <w:t xml:space="preserve"> with</w:t>
      </w:r>
      <w:r>
        <w:t>in</w:t>
      </w:r>
      <w:r w:rsidRPr="00A75A5C">
        <w:t xml:space="preserve"> a </w:t>
      </w:r>
      <w:r>
        <w:t>group</w:t>
      </w:r>
      <w:r w:rsidRPr="00A75A5C">
        <w:t xml:space="preserve"> of people. These groups are largely family or a group of friends, workmates or, as Yardi</w:t>
      </w:r>
      <w:r>
        <w:rPr>
          <w:rStyle w:val="FootnoteReference"/>
          <w:color w:val="000000" w:themeColor="text1"/>
          <w:sz w:val="24"/>
          <w:szCs w:val="24"/>
        </w:rPr>
        <w:footnoteReference w:id="5"/>
      </w:r>
      <w:r>
        <w:t xml:space="preserve"> </w:t>
      </w:r>
      <w:r w:rsidRPr="00A75A5C">
        <w:t>observe</w:t>
      </w:r>
      <w:r>
        <w:t>s</w:t>
      </w:r>
      <w:r w:rsidRPr="00A75A5C">
        <w:t>, connecting and bonding through social media.</w:t>
      </w:r>
      <w:r>
        <w:t xml:space="preserve"> </w:t>
      </w:r>
      <w:r w:rsidRPr="00A75A5C">
        <w:t xml:space="preserve">Without connecting and bonding to </w:t>
      </w:r>
      <w:r>
        <w:t>a</w:t>
      </w:r>
      <w:r w:rsidRPr="00A75A5C">
        <w:t xml:space="preserve"> social or cultural network, there is no sense of inclusion. Consequently, </w:t>
      </w:r>
      <w:r>
        <w:t>creating a service with a</w:t>
      </w:r>
      <w:r w:rsidRPr="00A75A5C">
        <w:t xml:space="preserve"> sense of inclusion </w:t>
      </w:r>
      <w:r>
        <w:t>must be</w:t>
      </w:r>
      <w:r w:rsidRPr="00A75A5C">
        <w:t xml:space="preserve"> premised on a social and cultural process of </w:t>
      </w:r>
      <w:r>
        <w:lastRenderedPageBreak/>
        <w:t xml:space="preserve">making a client </w:t>
      </w:r>
      <w:r w:rsidRPr="00A75A5C">
        <w:t>feel valued in these bonds and connections.</w:t>
      </w:r>
    </w:p>
    <w:p w:rsidR="00AE3684" w:rsidRPr="00A75A5C" w:rsidRDefault="00AE3684" w:rsidP="006C54D7">
      <w:r w:rsidRPr="00A75A5C">
        <w:t xml:space="preserve">The second stage in </w:t>
      </w:r>
      <w:r>
        <w:t>providing services</w:t>
      </w:r>
      <w:r w:rsidRPr="00A75A5C">
        <w:t xml:space="preserve"> </w:t>
      </w:r>
      <w:r>
        <w:t xml:space="preserve">is to provide a </w:t>
      </w:r>
      <w:r w:rsidRPr="00793854">
        <w:rPr>
          <w:i/>
        </w:rPr>
        <w:t>means of learning</w:t>
      </w:r>
      <w:r w:rsidRPr="00A75A5C">
        <w:t xml:space="preserve"> inclusive capital through networks – that is to say, </w:t>
      </w:r>
      <w:r>
        <w:t>to use our families, friends and peers</w:t>
      </w:r>
      <w:r w:rsidRPr="00A75A5C">
        <w:t xml:space="preserve"> to learn and acquire </w:t>
      </w:r>
      <w:r>
        <w:t>inclusive</w:t>
      </w:r>
      <w:r w:rsidRPr="00A75A5C">
        <w:t xml:space="preserve"> capital. Consequently, learning inclusive capital consists of acquiring habits, knowledge and practices that can lead to a sense of inclusion. </w:t>
      </w:r>
      <w:r>
        <w:t>P</w:t>
      </w:r>
      <w:r w:rsidRPr="00A75A5C">
        <w:t xml:space="preserve">art of this learning of inclusive capital is also </w:t>
      </w:r>
      <w:r>
        <w:t xml:space="preserve">a matter of </w:t>
      </w:r>
      <w:r w:rsidRPr="00A75A5C">
        <w:t xml:space="preserve">seeing ourselves as being equally included. However, </w:t>
      </w:r>
      <w:r>
        <w:t xml:space="preserve">through </w:t>
      </w:r>
      <w:r w:rsidRPr="00A75A5C">
        <w:t>this</w:t>
      </w:r>
      <w:r>
        <w:t xml:space="preserve"> form of learning we also </w:t>
      </w:r>
      <w:r w:rsidRPr="00A75A5C">
        <w:t>develop a further sense, the moral sense of justice, which can also be described as a form of moral knowledge</w:t>
      </w:r>
      <w:r>
        <w:t xml:space="preserve"> – i.e. people have refused services previously if they feel they are unjust to their needs or teach skills they don’t feel are right.</w:t>
      </w:r>
      <w:r>
        <w:rPr>
          <w:rStyle w:val="FootnoteReference"/>
          <w:color w:val="000000" w:themeColor="text1"/>
          <w:sz w:val="24"/>
          <w:szCs w:val="24"/>
        </w:rPr>
        <w:footnoteReference w:id="6"/>
      </w:r>
    </w:p>
    <w:p w:rsidR="00AE3684" w:rsidRPr="00A75A5C" w:rsidRDefault="00AE3684" w:rsidP="006C54D7">
      <w:r w:rsidRPr="00A75A5C">
        <w:t xml:space="preserve">The third stage </w:t>
      </w:r>
      <w:r>
        <w:t>of service provision</w:t>
      </w:r>
      <w:r w:rsidRPr="00A75A5C">
        <w:t xml:space="preserve"> is </w:t>
      </w:r>
      <w:r>
        <w:t xml:space="preserve">helping clients </w:t>
      </w:r>
      <w:r w:rsidRPr="00793854">
        <w:rPr>
          <w:i/>
        </w:rPr>
        <w:t>collect information</w:t>
      </w:r>
      <w:r w:rsidRPr="00A75A5C">
        <w:t xml:space="preserve"> that points to or later leads to knowledge. This collection of information can include finding out about our surroundings, making judgements about their worth or planning to travel within our surroundings. For example, this information could be </w:t>
      </w:r>
      <w:r>
        <w:t xml:space="preserve">providing accessible </w:t>
      </w:r>
      <w:r w:rsidRPr="00A75A5C">
        <w:t xml:space="preserve">maps. </w:t>
      </w:r>
      <w:r>
        <w:t>S</w:t>
      </w:r>
      <w:r w:rsidRPr="00A75A5C">
        <w:t xml:space="preserve">uch forms of </w:t>
      </w:r>
      <w:r>
        <w:t>information</w:t>
      </w:r>
      <w:r w:rsidRPr="00A75A5C">
        <w:t xml:space="preserve"> can also be acquired through the use of technology</w:t>
      </w:r>
      <w:r>
        <w:t xml:space="preserve"> f</w:t>
      </w:r>
      <w:r w:rsidRPr="00A75A5C">
        <w:t>or gaining information. In the modern era, this third stage can also mean accessing digital networks or learning. Information is consequently a vital part of planning and designing inclusive capital, and its subsequent habits and practice. It can be described as the raw material or the atomic level of inclusive capital.</w:t>
      </w:r>
    </w:p>
    <w:p w:rsidR="00AE3684" w:rsidRPr="00A75A5C" w:rsidRDefault="00AE3684" w:rsidP="006C54D7">
      <w:r w:rsidRPr="00A75A5C">
        <w:t xml:space="preserve">The fourth stage </w:t>
      </w:r>
      <w:r>
        <w:t>is providing</w:t>
      </w:r>
      <w:r w:rsidRPr="00A75A5C">
        <w:t xml:space="preserve"> </w:t>
      </w:r>
      <w:r>
        <w:t xml:space="preserve">services that allow for </w:t>
      </w:r>
      <w:r w:rsidRPr="00793854">
        <w:rPr>
          <w:i/>
        </w:rPr>
        <w:t>physical or virtual access to spaces and places</w:t>
      </w:r>
      <w:r w:rsidRPr="00A75A5C">
        <w:t xml:space="preserve">, such as visiting or attending </w:t>
      </w:r>
      <w:r>
        <w:t>spaces in communities, such as shops, churches, pubs, cafes or other social and cultural places</w:t>
      </w:r>
      <w:r w:rsidRPr="00A75A5C">
        <w:t>. These institutions can include places such as schools, parks, universities, museums or</w:t>
      </w:r>
      <w:r>
        <w:t>,</w:t>
      </w:r>
      <w:r w:rsidRPr="00A75A5C">
        <w:t xml:space="preserve"> as Yardi</w:t>
      </w:r>
      <w:r>
        <w:rPr>
          <w:rStyle w:val="FootnoteReference"/>
          <w:color w:val="000000" w:themeColor="text1"/>
          <w:sz w:val="24"/>
          <w:szCs w:val="24"/>
        </w:rPr>
        <w:footnoteReference w:id="7"/>
      </w:r>
      <w:r>
        <w:t xml:space="preserve"> </w:t>
      </w:r>
      <w:r w:rsidRPr="00A75A5C">
        <w:t>suggests, surfing websites.</w:t>
      </w:r>
    </w:p>
    <w:p w:rsidR="00AE3684" w:rsidRPr="00A75A5C" w:rsidRDefault="00AE3684" w:rsidP="006C54D7">
      <w:r w:rsidRPr="00A75A5C">
        <w:t xml:space="preserve">The fifth stage in </w:t>
      </w:r>
      <w:r>
        <w:t>service provision</w:t>
      </w:r>
      <w:r w:rsidRPr="00A75A5C">
        <w:t xml:space="preserve"> </w:t>
      </w:r>
      <w:r>
        <w:t xml:space="preserve">is </w:t>
      </w:r>
      <w:r w:rsidRPr="00793854">
        <w:t>providing</w:t>
      </w:r>
      <w:r w:rsidRPr="00793854">
        <w:rPr>
          <w:i/>
        </w:rPr>
        <w:t xml:space="preserve"> physical and virtual mobility</w:t>
      </w:r>
      <w:r w:rsidRPr="00A75A5C">
        <w:t>, which allows for navigation through spaces and places, networks, information and learning</w:t>
      </w:r>
      <w:r>
        <w:t>. F</w:t>
      </w:r>
      <w:r w:rsidRPr="00A75A5C">
        <w:t xml:space="preserve">or instance, </w:t>
      </w:r>
      <w:r>
        <w:t>this mobility can be</w:t>
      </w:r>
      <w:r w:rsidRPr="00A75A5C">
        <w:t xml:space="preserve"> skills needed to </w:t>
      </w:r>
      <w:r w:rsidRPr="00A75A5C">
        <w:t xml:space="preserve">surf the Web for information, move around or between institutional environments, or </w:t>
      </w:r>
      <w:r>
        <w:t xml:space="preserve">dexterously </w:t>
      </w:r>
      <w:r w:rsidRPr="00A75A5C">
        <w:t>navigate technologies like telephones. Conversely, lacking mobility can lead to exclusion, to being unable to attend an institution as a place, to being unable to find information, or to being unable to move between networks. Subsequently, mobility is the essential catalyst of inclusive capital.</w:t>
      </w:r>
    </w:p>
    <w:p w:rsidR="006C54D7" w:rsidRPr="000C1E5F" w:rsidRDefault="00AE3684" w:rsidP="000C1E5F">
      <w:r>
        <w:t>These five stages are illustrated in the diagram in Figure 1.</w:t>
      </w:r>
    </w:p>
    <w:p w:rsidR="00845F0D" w:rsidRPr="00793854" w:rsidRDefault="00AE3684" w:rsidP="000C1E5F">
      <w:pPr>
        <w:pStyle w:val="Sub-head"/>
      </w:pPr>
      <w:r w:rsidRPr="00793854">
        <w:t>Figure 1: The development of inclusive capital and a sense of inclusion</w:t>
      </w:r>
      <w:r>
        <w:t>: [verbal image] an image of five increasingly sized circles one within the other, with the five stages of inclusive capital in each circle.</w:t>
      </w:r>
    </w:p>
    <w:p w:rsidR="00845F0D" w:rsidRPr="0091088A" w:rsidRDefault="00AE3684" w:rsidP="0091088A">
      <w:pPr>
        <w:spacing w:line="480" w:lineRule="auto"/>
        <w:rPr>
          <w:rFonts w:ascii="Times New Roman" w:hAnsi="Times New Roman" w:cs="Times New Roman"/>
          <w:color w:val="000000" w:themeColor="text1"/>
          <w:sz w:val="24"/>
          <w:szCs w:val="24"/>
        </w:rPr>
      </w:pPr>
      <w:r w:rsidRPr="006D3ACD">
        <w:rPr>
          <w:rFonts w:ascii="Times New Roman" w:hAnsi="Times New Roman" w:cs="Times New Roman"/>
          <w:noProof/>
          <w:color w:val="000000" w:themeColor="text1"/>
          <w:sz w:val="24"/>
          <w:szCs w:val="24"/>
        </w:rPr>
        <w:drawing>
          <wp:inline distT="0" distB="0" distL="0" distR="0" wp14:anchorId="64F69B7A" wp14:editId="63B78E88">
            <wp:extent cx="2937850" cy="2459990"/>
            <wp:effectExtent l="0" t="12700" r="0" b="16510"/>
            <wp:docPr id="17" name="Diagram 17" descr="an image of five increasingly sized circles one within the other, with the five stages of inclusive capital in each circle.">
              <a:extLst xmlns:a="http://schemas.openxmlformats.org/drawingml/2006/main">
                <a:ext uri="{FF2B5EF4-FFF2-40B4-BE49-F238E27FC236}">
                  <a16:creationId xmlns:a16="http://schemas.microsoft.com/office/drawing/2014/main" id="{3285A732-A9F4-5F46-95E2-6221BBDC47C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AE3684" w:rsidRDefault="00AE3684" w:rsidP="000C1E5F">
      <w:r>
        <w:t>The five-stage model of inclusive capital was used in this study as a filter for service provision during the search for data. Although not only surveying services that fit the model was carried out, the survey focused on services that fit into the five stages of developing inclusive capital as a measurement of relevance. The model was also used to identify demographic data for the first stage of data analysis.</w:t>
      </w:r>
    </w:p>
    <w:p w:rsidR="00AE3684" w:rsidRDefault="00AE3684" w:rsidP="000C1E5F">
      <w:r w:rsidRPr="00711321">
        <w:t>For instance, during early analysi</w:t>
      </w:r>
      <w:r>
        <w:t>s</w:t>
      </w:r>
      <w:r w:rsidRPr="00711321">
        <w:t xml:space="preserve"> </w:t>
      </w:r>
      <w:r>
        <w:t xml:space="preserve">OAS </w:t>
      </w:r>
      <w:proofErr w:type="spellStart"/>
      <w:r>
        <w:t>emphasising</w:t>
      </w:r>
      <w:proofErr w:type="spellEnd"/>
      <w:r>
        <w:t xml:space="preserve"> work with existing communities or founding new communities, such as groups of OA or SOA in their local communities, were compared; OAS providing information, including association websites, were examined and compared in different </w:t>
      </w:r>
      <w:r>
        <w:lastRenderedPageBreak/>
        <w:t>jurisdictions, and data on the human geography and isolation of transportation in Ireland was searched and analysed through the Irish census, NCBI service information and other secondary source data in academic literature; OAS related to learning were investigated, especially as it related to learning new skills in relation to developing sight loss.</w:t>
      </w:r>
    </w:p>
    <w:p w:rsidR="00AE3684" w:rsidRDefault="00AE3684" w:rsidP="000C1E5F">
      <w:r w:rsidRPr="00711321">
        <w:t>Similarly, in later forms of analysis academic literature relating to transportation, networking</w:t>
      </w:r>
      <w:r>
        <w:t xml:space="preserve">, </w:t>
      </w:r>
      <w:r w:rsidRPr="00711321">
        <w:t xml:space="preserve">the effects of </w:t>
      </w:r>
      <w:r>
        <w:t xml:space="preserve">communal </w:t>
      </w:r>
      <w:r w:rsidRPr="00711321">
        <w:t>well-being</w:t>
      </w:r>
      <w:r>
        <w:t xml:space="preserve"> and physical isolation, </w:t>
      </w:r>
      <w:r w:rsidRPr="00711321">
        <w:t xml:space="preserve">information, learning and being part of the physical </w:t>
      </w:r>
      <w:r>
        <w:t>space of the community</w:t>
      </w:r>
      <w:r w:rsidRPr="00711321">
        <w:t xml:space="preserve"> were </w:t>
      </w:r>
      <w:proofErr w:type="spellStart"/>
      <w:r w:rsidRPr="00711321">
        <w:t>emphasised</w:t>
      </w:r>
      <w:proofErr w:type="spellEnd"/>
      <w:r w:rsidRPr="00711321">
        <w:t xml:space="preserve"> in the analysis.</w:t>
      </w:r>
    </w:p>
    <w:p w:rsidR="000C1E5F" w:rsidRPr="006C52F6" w:rsidRDefault="006C52F6" w:rsidP="006C52F6">
      <w:pPr>
        <w:pStyle w:val="LSEQuote"/>
      </w:pPr>
      <w:r w:rsidRPr="00A44BA6">
        <w:t>“</w:t>
      </w:r>
      <w:r w:rsidR="000D726E">
        <w:t>The five-stage model of inclusive capital was used in this study as a filter for service provision during the search for data. Although not only surveying services that fit the model was carried out, the survey focused on services that fit into the five stages of developing inclusive capital as a measurement of relevance</w:t>
      </w:r>
      <w:r w:rsidRPr="00A44BA6">
        <w:t>.”</w:t>
      </w:r>
    </w:p>
    <w:p w:rsidR="00AE3684" w:rsidRPr="00711321" w:rsidRDefault="00AE3684" w:rsidP="000C1E5F">
      <w:r w:rsidRPr="00574624">
        <w:t>Th</w:t>
      </w:r>
      <w:r>
        <w:t>e following</w:t>
      </w:r>
      <w:r w:rsidRPr="00574624">
        <w:t xml:space="preserve"> </w:t>
      </w:r>
      <w:r>
        <w:t>report of the study</w:t>
      </w:r>
      <w:r w:rsidRPr="00574624">
        <w:t xml:space="preserve"> is broken into the following five sections: 1) the grounded methodology used to </w:t>
      </w:r>
      <w:proofErr w:type="spellStart"/>
      <w:r w:rsidRPr="00574624">
        <w:t>analyse</w:t>
      </w:r>
      <w:proofErr w:type="spellEnd"/>
      <w:r w:rsidRPr="00574624">
        <w:t xml:space="preserve"> and </w:t>
      </w:r>
      <w:proofErr w:type="spellStart"/>
      <w:r w:rsidRPr="00574624">
        <w:t>categorise</w:t>
      </w:r>
      <w:proofErr w:type="spellEnd"/>
      <w:r w:rsidRPr="00574624">
        <w:t xml:space="preserve"> the </w:t>
      </w:r>
      <w:r>
        <w:t>surveys</w:t>
      </w:r>
      <w:r w:rsidRPr="00574624">
        <w:t xml:space="preserve"> included in the study; 2) the findings from the first stage of analysis, focusing on </w:t>
      </w:r>
      <w:r>
        <w:t>the demographic data from the Irish Census and NCBI</w:t>
      </w:r>
      <w:r w:rsidRPr="00574624">
        <w:t xml:space="preserve">; 3) the findings from the second stage of analysis, focusing on </w:t>
      </w:r>
      <w:r>
        <w:t>an analysis of the categories of services discussed in the survey of similar jurisdictions, and the development of an initial hypothesis</w:t>
      </w:r>
      <w:r w:rsidRPr="00574624">
        <w:t xml:space="preserve">; 4) the findings from the third stage of analysis, </w:t>
      </w:r>
      <w:r>
        <w:t>which analysed the hypothesis through the survey of academic literature</w:t>
      </w:r>
      <w:r w:rsidRPr="00574624">
        <w:t>; 5) conclusions drawn from the study.</w:t>
      </w:r>
    </w:p>
    <w:p w:rsidR="00AE3684" w:rsidRDefault="00AE3684" w:rsidP="00AE3684">
      <w:pPr>
        <w:spacing w:line="48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AE3684" w:rsidRPr="00574624" w:rsidRDefault="006C52F6" w:rsidP="000C1E5F">
      <w:pPr>
        <w:pStyle w:val="Heading"/>
      </w:pPr>
      <w:r>
        <w:lastRenderedPageBreak/>
        <w:t>3</w:t>
      </w:r>
      <w:r w:rsidR="000C1E5F">
        <w:t xml:space="preserve"> </w:t>
      </w:r>
      <w:r w:rsidR="00AE3684" w:rsidRPr="00574624">
        <w:t>Research Methodology</w:t>
      </w:r>
    </w:p>
    <w:p w:rsidR="00AE3684" w:rsidRPr="00574624" w:rsidRDefault="006C52F6" w:rsidP="000C1E5F">
      <w:pPr>
        <w:pStyle w:val="Sub-head"/>
      </w:pPr>
      <w:r>
        <w:t>3</w:t>
      </w:r>
      <w:r w:rsidR="000C1E5F">
        <w:t xml:space="preserve">.1 </w:t>
      </w:r>
      <w:r w:rsidR="00A64BE8">
        <w:t xml:space="preserve">Grounded </w:t>
      </w:r>
      <w:r w:rsidR="00AE3684">
        <w:t>Methodology</w:t>
      </w:r>
    </w:p>
    <w:p w:rsidR="00AE3684" w:rsidRDefault="00AE3684" w:rsidP="000C1E5F">
      <w:r>
        <w:t>The research methodology used in the study</w:t>
      </w:r>
      <w:r w:rsidRPr="00574624">
        <w:t xml:space="preserve"> was an adaptation of </w:t>
      </w:r>
      <w:r>
        <w:t>g</w:t>
      </w:r>
      <w:r w:rsidRPr="00574624">
        <w:t xml:space="preserve">rounded </w:t>
      </w:r>
      <w:r>
        <w:t>t</w:t>
      </w:r>
      <w:r w:rsidRPr="00574624">
        <w:t>heory</w:t>
      </w:r>
      <w:r>
        <w:rPr>
          <w:rStyle w:val="FootnoteReference"/>
          <w:color w:val="000000" w:themeColor="text1"/>
          <w:sz w:val="24"/>
          <w:szCs w:val="24"/>
        </w:rPr>
        <w:footnoteReference w:id="8"/>
      </w:r>
      <w:r>
        <w:t>, termed grounded methodology</w:t>
      </w:r>
      <w:r>
        <w:rPr>
          <w:rStyle w:val="FootnoteReference"/>
          <w:color w:val="000000" w:themeColor="text1"/>
          <w:sz w:val="24"/>
          <w:szCs w:val="24"/>
        </w:rPr>
        <w:footnoteReference w:id="9"/>
      </w:r>
      <w:r>
        <w:t>. Like grounded theory, t</w:t>
      </w:r>
      <w:r w:rsidRPr="00574624">
        <w:t xml:space="preserve">he research was conducted using three phases of data coding </w:t>
      </w:r>
      <w:r>
        <w:t>–</w:t>
      </w:r>
      <w:r w:rsidRPr="00574624">
        <w:t xml:space="preserve"> </w:t>
      </w:r>
      <w:r>
        <w:t xml:space="preserve">in traditional grounded theory and more formal grounded methodology these are referred to as </w:t>
      </w:r>
      <w:r w:rsidRPr="00574624">
        <w:t>open</w:t>
      </w:r>
      <w:r>
        <w:t xml:space="preserve"> (first)</w:t>
      </w:r>
      <w:r w:rsidRPr="00574624">
        <w:t>, axial</w:t>
      </w:r>
      <w:r>
        <w:t xml:space="preserve"> (second)</w:t>
      </w:r>
      <w:r w:rsidRPr="00574624">
        <w:t xml:space="preserve"> and selective</w:t>
      </w:r>
      <w:r>
        <w:t xml:space="preserve"> (third)</w:t>
      </w:r>
      <w:r w:rsidRPr="00574624">
        <w:t xml:space="preserve"> phase</w:t>
      </w:r>
      <w:r>
        <w:t>s, although these terms were not relevant in this study.</w:t>
      </w:r>
    </w:p>
    <w:p w:rsidR="00AE3684" w:rsidRDefault="00AE3684" w:rsidP="000C1E5F">
      <w:proofErr w:type="gramStart"/>
      <w:r>
        <w:t>Also</w:t>
      </w:r>
      <w:proofErr w:type="gramEnd"/>
      <w:r>
        <w:t xml:space="preserve"> like grounded theory, during the three phases of analysis d</w:t>
      </w:r>
      <w:r w:rsidRPr="00574624">
        <w:t xml:space="preserve">ata was analysed in a progressively more </w:t>
      </w:r>
      <w:proofErr w:type="spellStart"/>
      <w:r w:rsidRPr="00574624">
        <w:t>focussed</w:t>
      </w:r>
      <w:proofErr w:type="spellEnd"/>
      <w:r w:rsidRPr="00574624">
        <w:t xml:space="preserve"> way</w:t>
      </w:r>
      <w:r>
        <w:t xml:space="preserve"> and </w:t>
      </w:r>
      <w:r w:rsidRPr="00574624">
        <w:t xml:space="preserve">all forms of data </w:t>
      </w:r>
      <w:r>
        <w:t xml:space="preserve">were treated </w:t>
      </w:r>
      <w:r w:rsidRPr="00574624">
        <w:t xml:space="preserve">as </w:t>
      </w:r>
      <w:r>
        <w:t xml:space="preserve">being </w:t>
      </w:r>
      <w:r w:rsidRPr="00574624">
        <w:t xml:space="preserve">equally important. This system of data </w:t>
      </w:r>
      <w:r>
        <w:t>analysis</w:t>
      </w:r>
      <w:r w:rsidRPr="00574624">
        <w:t xml:space="preserve"> suited the reflexive, problem solving approach to this novel cultural context and topic</w:t>
      </w:r>
      <w:r>
        <w:t>, and kept the formal structure of triangulating different forms of data, data analysis and collection methods</w:t>
      </w:r>
      <w:r w:rsidRPr="00574624">
        <w:t>.</w:t>
      </w:r>
    </w:p>
    <w:p w:rsidR="00AE3684" w:rsidRPr="00574624" w:rsidRDefault="00AE3684" w:rsidP="000C1E5F">
      <w:r w:rsidRPr="00574624">
        <w:t xml:space="preserve">However, unlike </w:t>
      </w:r>
      <w:r>
        <w:t>g</w:t>
      </w:r>
      <w:r w:rsidRPr="00574624">
        <w:t xml:space="preserve">rounded </w:t>
      </w:r>
      <w:r>
        <w:t>t</w:t>
      </w:r>
      <w:r w:rsidRPr="00574624">
        <w:t xml:space="preserve">heory this method encouraged the evolution of culturally </w:t>
      </w:r>
      <w:r>
        <w:t>constructed</w:t>
      </w:r>
      <w:r w:rsidRPr="00574624">
        <w:t xml:space="preserve"> theories in the style of Geertz’s</w:t>
      </w:r>
      <w:r>
        <w:rPr>
          <w:rStyle w:val="FootnoteReference"/>
          <w:color w:val="000000" w:themeColor="text1"/>
          <w:sz w:val="24"/>
          <w:szCs w:val="24"/>
        </w:rPr>
        <w:footnoteReference w:id="10"/>
      </w:r>
      <w:r w:rsidRPr="00574624">
        <w:t xml:space="preserve"> cultural anthropologies</w:t>
      </w:r>
      <w:r>
        <w:t xml:space="preserve">, and collected and analysed the data largely asynchronously – the data was pre-defined, as was the nature of the study in the original proposal - </w:t>
      </w:r>
      <w:r w:rsidRPr="00574624">
        <w:t>and used deductive rather than inductive logic</w:t>
      </w:r>
      <w:r>
        <w:rPr>
          <w:rStyle w:val="FootnoteReference"/>
          <w:color w:val="000000" w:themeColor="text1"/>
          <w:sz w:val="24"/>
          <w:szCs w:val="24"/>
        </w:rPr>
        <w:footnoteReference w:id="11"/>
      </w:r>
      <w:r>
        <w:t>. In addition, in this grounded methodology a mixture of qualitative primary and secondary source data was collected, as it was appropriate to the analysis. Although, like traditional grounded theories, all primary data was analysed qualitatively and secondary source statistics were only used to support qualitative analysis.</w:t>
      </w:r>
    </w:p>
    <w:p w:rsidR="00AE3684" w:rsidRPr="00574624" w:rsidRDefault="006C52F6" w:rsidP="000C1E5F">
      <w:pPr>
        <w:pStyle w:val="Sub-head"/>
      </w:pPr>
      <w:r>
        <w:t>3</w:t>
      </w:r>
      <w:r w:rsidR="000C1E5F">
        <w:t xml:space="preserve">.2 </w:t>
      </w:r>
      <w:r w:rsidR="00AE3684" w:rsidRPr="00574624">
        <w:t xml:space="preserve">System of </w:t>
      </w:r>
      <w:r w:rsidR="00AE3684">
        <w:t>Search</w:t>
      </w:r>
    </w:p>
    <w:p w:rsidR="00AE3684" w:rsidRPr="00574624" w:rsidRDefault="00AE3684" w:rsidP="000C1E5F">
      <w:r>
        <w:t xml:space="preserve">As stated above, the data for this study was: a) academic literature on OAS in culturally similar jurisdictions; b) public websites of </w:t>
      </w:r>
      <w:r>
        <w:t xml:space="preserve">associations and institutions for people developing sight loss in jurisdictions similar to Ireland; c) publicly available data on the demographics of Ireland, similar jurisdictions and existing NCBI OAS. </w:t>
      </w:r>
      <w:r w:rsidRPr="00574624">
        <w:t xml:space="preserve">The method of </w:t>
      </w:r>
      <w:r>
        <w:t>searching this</w:t>
      </w:r>
      <w:r w:rsidRPr="00574624">
        <w:t xml:space="preserve"> </w:t>
      </w:r>
      <w:r>
        <w:t>documentation</w:t>
      </w:r>
      <w:r w:rsidRPr="00574624">
        <w:t xml:space="preserve"> was conducted </w:t>
      </w:r>
      <w:r>
        <w:t>in parallel and asynchronously from</w:t>
      </w:r>
      <w:r w:rsidRPr="00574624">
        <w:t xml:space="preserve"> </w:t>
      </w:r>
      <w:r>
        <w:t>September 2018 to late December 2018 – i.e. the searches for academic literature, websites and data sets were conducted at the same time, as was practicable during the time afforded for the study</w:t>
      </w:r>
      <w:r w:rsidRPr="00574624">
        <w:t>.</w:t>
      </w:r>
    </w:p>
    <w:p w:rsidR="00AE3684" w:rsidRDefault="00AE3684" w:rsidP="000C1E5F">
      <w:r>
        <w:t>The search of the Irish Census, NCBI services and data and demographic data from academic literature was based on: a) the website of Ireland’s Central Statistical Service (</w:t>
      </w:r>
      <w:hyperlink r:id="rId16" w:history="1">
        <w:r w:rsidRPr="00000AB6">
          <w:rPr>
            <w:rStyle w:val="Hyperlink"/>
            <w:rFonts w:ascii="Times New Roman" w:hAnsi="Times New Roman" w:cs="Times New Roman"/>
            <w:sz w:val="24"/>
            <w:szCs w:val="24"/>
          </w:rPr>
          <w:t>https://www.cso.ie</w:t>
        </w:r>
      </w:hyperlink>
      <w:r>
        <w:t>), which contained data and the means for simple analysis of census data – for example, it allowed for the comparison of two or three variables in conventional tables and graphs; b) the NCBI’s website (</w:t>
      </w:r>
      <w:hyperlink r:id="rId17" w:history="1">
        <w:r w:rsidRPr="00000AB6">
          <w:rPr>
            <w:rStyle w:val="Hyperlink"/>
            <w:rFonts w:ascii="Times New Roman" w:hAnsi="Times New Roman" w:cs="Times New Roman"/>
            <w:sz w:val="24"/>
            <w:szCs w:val="24"/>
          </w:rPr>
          <w:t>https://www.ncbi.ie</w:t>
        </w:r>
      </w:hyperlink>
      <w:r>
        <w:t>); c) searches of academic literature through online and library databases – see below on academic literature.</w:t>
      </w:r>
    </w:p>
    <w:p w:rsidR="00AE3684" w:rsidRDefault="00AE3684" w:rsidP="000C1E5F">
      <w:r>
        <w:t>On accessing demographic data on the various websites, searches for specific data based on the five phases of inclusive capital were used, looking in particular for data and services for those over 65 years. However, general demographic data on sight loss and disability – particularly multiple disabilities that were thought to provide an overlap with sight loss and other forms of impairment – were also sought.</w:t>
      </w:r>
    </w:p>
    <w:p w:rsidR="00AE3684" w:rsidRPr="00363D99" w:rsidRDefault="00AE3684" w:rsidP="000C1E5F">
      <w:r>
        <w:t xml:space="preserve">The search for jurisdictions that were adjudged to be similar to Ireland were eventually restricted to the most similar jurisdictions, as it was felt that there were too many to survey in the given time. Eventually, three methods were used to identify these similar jurisdictions: the first was subjective knowledge of similar associations, councils and institutions, based on the researcher’s </w:t>
      </w:r>
      <w:r>
        <w:lastRenderedPageBreak/>
        <w:t xml:space="preserve">and NCBI’s experience; the second was the identification of associations, councils or institutions that bore a similarity to NCBI in terms of size, closeness to government and service provision; the third was the following </w:t>
      </w:r>
      <w:r w:rsidRPr="00363D99">
        <w:t xml:space="preserve">variables to </w:t>
      </w:r>
      <w:r>
        <w:t>filter</w:t>
      </w:r>
      <w:r w:rsidRPr="00363D99">
        <w:t xml:space="preserve"> </w:t>
      </w:r>
      <w:r>
        <w:t>jurisdictions</w:t>
      </w:r>
      <w:r w:rsidRPr="00363D99">
        <w:t>:</w:t>
      </w:r>
    </w:p>
    <w:p w:rsidR="00AE3684" w:rsidRPr="008E128B" w:rsidRDefault="00AE3684" w:rsidP="001E0161">
      <w:pPr>
        <w:pStyle w:val="ListParagraph"/>
        <w:numPr>
          <w:ilvl w:val="0"/>
          <w:numId w:val="4"/>
        </w:numPr>
      </w:pPr>
      <w:r>
        <w:t>Population size</w:t>
      </w:r>
      <w:r w:rsidRPr="008E128B">
        <w:t xml:space="preserve"> </w:t>
      </w:r>
      <w:r>
        <w:t xml:space="preserve">- i.e. populations between </w:t>
      </w:r>
      <w:r w:rsidRPr="008E128B">
        <w:t>1,000,000&gt; and &lt;10,000,000</w:t>
      </w:r>
      <w:r w:rsidR="000C1E5F">
        <w:t xml:space="preserve"> (approx.)</w:t>
      </w:r>
      <w:r>
        <w:t>, as Ireland has a population of just over 4,200,000</w:t>
      </w:r>
    </w:p>
    <w:p w:rsidR="00AE3684" w:rsidRPr="008E128B" w:rsidRDefault="00AE3684" w:rsidP="001E0161">
      <w:pPr>
        <w:pStyle w:val="ListParagraph"/>
        <w:numPr>
          <w:ilvl w:val="0"/>
          <w:numId w:val="4"/>
        </w:numPr>
      </w:pPr>
      <w:r w:rsidRPr="008E128B">
        <w:t>High-Income</w:t>
      </w:r>
      <w:r>
        <w:t xml:space="preserve"> – the jurisdictions had to feature in the top quartile of countries by income per capita</w:t>
      </w:r>
    </w:p>
    <w:p w:rsidR="00AE3684" w:rsidRPr="008E128B" w:rsidRDefault="00AE3684" w:rsidP="001E0161">
      <w:pPr>
        <w:pStyle w:val="ListParagraph"/>
        <w:numPr>
          <w:ilvl w:val="0"/>
          <w:numId w:val="4"/>
        </w:numPr>
      </w:pPr>
      <w:r>
        <w:t>History and c</w:t>
      </w:r>
      <w:r w:rsidRPr="008E128B">
        <w:t>ulture of service provision</w:t>
      </w:r>
      <w:r>
        <w:t xml:space="preserve"> </w:t>
      </w:r>
      <w:r w:rsidRPr="008E128B">
        <w:t>/</w:t>
      </w:r>
      <w:r>
        <w:t xml:space="preserve"> </w:t>
      </w:r>
      <w:r w:rsidRPr="008E128B">
        <w:t>social services</w:t>
      </w:r>
      <w:r>
        <w:t xml:space="preserve"> – the jurisdictions had to have a mature welfare state, preferably developed over the course of a century or more</w:t>
      </w:r>
    </w:p>
    <w:p w:rsidR="00AE3684" w:rsidRPr="008E128B" w:rsidRDefault="00AE3684" w:rsidP="001E0161">
      <w:pPr>
        <w:pStyle w:val="ListParagraph"/>
        <w:numPr>
          <w:ilvl w:val="0"/>
          <w:numId w:val="4"/>
        </w:numPr>
      </w:pPr>
      <w:r w:rsidRPr="008E128B">
        <w:t>Similar governments and democratically elected ministers</w:t>
      </w:r>
    </w:p>
    <w:p w:rsidR="00AE3684" w:rsidRDefault="00AE3684" w:rsidP="001E0161">
      <w:pPr>
        <w:pStyle w:val="ListParagraph"/>
        <w:numPr>
          <w:ilvl w:val="0"/>
          <w:numId w:val="4"/>
        </w:numPr>
      </w:pPr>
      <w:r>
        <w:t>Similar service provision by government and charitable sectors</w:t>
      </w:r>
    </w:p>
    <w:p w:rsidR="00AE3684" w:rsidRDefault="00AE3684" w:rsidP="001E0161">
      <w:pPr>
        <w:pStyle w:val="ListParagraph"/>
        <w:numPr>
          <w:ilvl w:val="0"/>
          <w:numId w:val="4"/>
        </w:numPr>
      </w:pPr>
      <w:r>
        <w:t>Similar spending on services – taken as a percentage of the jurisdiction’s income</w:t>
      </w:r>
    </w:p>
    <w:p w:rsidR="00AE3684" w:rsidRPr="008C3F0E" w:rsidRDefault="00AE3684" w:rsidP="000C1E5F">
      <w:r>
        <w:t>From this process, the following jurisdictions were identified:</w:t>
      </w:r>
    </w:p>
    <w:p w:rsidR="00AE3684" w:rsidRPr="007D7545" w:rsidRDefault="00AE3684" w:rsidP="001E0161">
      <w:pPr>
        <w:pStyle w:val="ListParagraph"/>
        <w:numPr>
          <w:ilvl w:val="0"/>
          <w:numId w:val="5"/>
        </w:numPr>
      </w:pPr>
      <w:r w:rsidRPr="007D7545">
        <w:t>Denmark</w:t>
      </w:r>
    </w:p>
    <w:p w:rsidR="00AE3684" w:rsidRPr="007D7545" w:rsidRDefault="00AE3684" w:rsidP="001E0161">
      <w:pPr>
        <w:pStyle w:val="ListParagraph"/>
        <w:numPr>
          <w:ilvl w:val="0"/>
          <w:numId w:val="5"/>
        </w:numPr>
      </w:pPr>
      <w:r w:rsidRPr="007D7545">
        <w:t>Finland</w:t>
      </w:r>
    </w:p>
    <w:p w:rsidR="00AE3684" w:rsidRPr="007D7545" w:rsidRDefault="00AE3684" w:rsidP="001E0161">
      <w:pPr>
        <w:pStyle w:val="ListParagraph"/>
        <w:numPr>
          <w:ilvl w:val="0"/>
          <w:numId w:val="5"/>
        </w:numPr>
      </w:pPr>
      <w:r w:rsidRPr="007D7545">
        <w:t>Massachusetts (US)</w:t>
      </w:r>
    </w:p>
    <w:p w:rsidR="00AE3684" w:rsidRPr="007D7545" w:rsidRDefault="00AE3684" w:rsidP="001E0161">
      <w:pPr>
        <w:pStyle w:val="ListParagraph"/>
        <w:numPr>
          <w:ilvl w:val="0"/>
          <w:numId w:val="5"/>
        </w:numPr>
      </w:pPr>
      <w:r w:rsidRPr="007D7545">
        <w:t>New South Wales (Australia)</w:t>
      </w:r>
    </w:p>
    <w:p w:rsidR="00AE3684" w:rsidRPr="007D7545" w:rsidRDefault="00AE3684" w:rsidP="001E0161">
      <w:pPr>
        <w:pStyle w:val="ListParagraph"/>
        <w:numPr>
          <w:ilvl w:val="0"/>
          <w:numId w:val="5"/>
        </w:numPr>
      </w:pPr>
      <w:r w:rsidRPr="007D7545">
        <w:t>New Zealand</w:t>
      </w:r>
    </w:p>
    <w:p w:rsidR="00AE3684" w:rsidRPr="007D7545" w:rsidRDefault="00AE3684" w:rsidP="001E0161">
      <w:pPr>
        <w:pStyle w:val="ListParagraph"/>
        <w:numPr>
          <w:ilvl w:val="0"/>
          <w:numId w:val="5"/>
        </w:numPr>
      </w:pPr>
      <w:r w:rsidRPr="007D7545">
        <w:t>Norway</w:t>
      </w:r>
    </w:p>
    <w:p w:rsidR="00AE3684" w:rsidRPr="007D7545" w:rsidRDefault="00AE3684" w:rsidP="001E0161">
      <w:pPr>
        <w:pStyle w:val="ListParagraph"/>
        <w:numPr>
          <w:ilvl w:val="0"/>
          <w:numId w:val="5"/>
        </w:numPr>
      </w:pPr>
      <w:r w:rsidRPr="007D7545">
        <w:t>Scotland</w:t>
      </w:r>
    </w:p>
    <w:p w:rsidR="00AE3684" w:rsidRDefault="00AE3684" w:rsidP="001E0161">
      <w:pPr>
        <w:pStyle w:val="ListParagraph"/>
        <w:numPr>
          <w:ilvl w:val="0"/>
          <w:numId w:val="5"/>
        </w:numPr>
      </w:pPr>
      <w:r w:rsidRPr="007D7545">
        <w:t>Sweden</w:t>
      </w:r>
    </w:p>
    <w:p w:rsidR="006C52F6" w:rsidRDefault="006C52F6" w:rsidP="006C52F6">
      <w:pPr>
        <w:pStyle w:val="LSEQuote"/>
      </w:pPr>
      <w:r w:rsidRPr="00A44BA6">
        <w:t>“</w:t>
      </w:r>
      <w:r w:rsidR="00952379" w:rsidRPr="00952379">
        <w:t>The search for jurisdictions that were adjudged to be similar to Ireland were eventually restricted to the most similar jurisdictions, as it was felt that there were too many to survey in the given time</w:t>
      </w:r>
      <w:r w:rsidRPr="00A44BA6">
        <w:t>.”</w:t>
      </w:r>
    </w:p>
    <w:p w:rsidR="00AE3684" w:rsidRPr="00574624" w:rsidRDefault="00AE3684" w:rsidP="000C1E5F">
      <w:r>
        <w:t>After identifying jurisdictions, data was collected from the publicly available websites of their largest national or large regional OAS provider websites available to the public. These searches were made using</w:t>
      </w:r>
      <w:r w:rsidRPr="00574624">
        <w:t xml:space="preserve"> regular Google search engine</w:t>
      </w:r>
      <w:r>
        <w:t>, the website menus and the internal search engines on the websites</w:t>
      </w:r>
      <w:r w:rsidRPr="00574624">
        <w:t>.</w:t>
      </w:r>
    </w:p>
    <w:p w:rsidR="00AE3684" w:rsidRDefault="00AE3684" w:rsidP="000C1E5F">
      <w:r w:rsidRPr="00574624">
        <w:t xml:space="preserve">The </w:t>
      </w:r>
      <w:r>
        <w:t>search</w:t>
      </w:r>
      <w:r w:rsidRPr="00574624">
        <w:t xml:space="preserve"> of </w:t>
      </w:r>
      <w:r>
        <w:t>academic literature on OAS in institutional settings gave preference, although not exclusively, to documents published within five years of the search of databases</w:t>
      </w:r>
      <w:r w:rsidRPr="00574624">
        <w:t>. These documents were searched</w:t>
      </w:r>
      <w:r>
        <w:t xml:space="preserve"> for</w:t>
      </w:r>
      <w:r w:rsidRPr="00574624">
        <w:t xml:space="preserve"> using the following research databases: the US National Library of Medicine National Institutes of Health’s PubMed database, Scopus, Web of Science, and Google Scholar. Other than Scopus and Google Scholar, </w:t>
      </w:r>
      <w:r>
        <w:t>the two other</w:t>
      </w:r>
      <w:r w:rsidRPr="00574624">
        <w:t xml:space="preserve"> academic databases were chosen as they </w:t>
      </w:r>
      <w:proofErr w:type="spellStart"/>
      <w:r w:rsidRPr="00574624">
        <w:t>recognised</w:t>
      </w:r>
      <w:proofErr w:type="spellEnd"/>
      <w:r w:rsidRPr="00574624">
        <w:t xml:space="preserve"> </w:t>
      </w:r>
      <w:r>
        <w:t xml:space="preserve">OAS in </w:t>
      </w:r>
      <w:r w:rsidRPr="00574624">
        <w:t>journals and conference proceedings</w:t>
      </w:r>
      <w:r>
        <w:t xml:space="preserve"> and access was available to them</w:t>
      </w:r>
      <w:r w:rsidRPr="00574624">
        <w:t>. Google Scholar was chosen</w:t>
      </w:r>
      <w:r>
        <w:t xml:space="preserve"> </w:t>
      </w:r>
      <w:r w:rsidRPr="00574624">
        <w:t xml:space="preserve">as it is a general database of documents and </w:t>
      </w:r>
      <w:r>
        <w:t xml:space="preserve">identified </w:t>
      </w:r>
      <w:r w:rsidRPr="00574624">
        <w:t xml:space="preserve">journals and proceedings from other disciplines not </w:t>
      </w:r>
      <w:proofErr w:type="spellStart"/>
      <w:r w:rsidRPr="00574624">
        <w:t>recog</w:t>
      </w:r>
      <w:r>
        <w:t>nised</w:t>
      </w:r>
      <w:proofErr w:type="spellEnd"/>
      <w:r>
        <w:t xml:space="preserve"> in </w:t>
      </w:r>
      <w:proofErr w:type="spellStart"/>
      <w:r>
        <w:t>specialised</w:t>
      </w:r>
      <w:proofErr w:type="spellEnd"/>
      <w:r>
        <w:t xml:space="preserve"> databases.</w:t>
      </w:r>
    </w:p>
    <w:p w:rsidR="00AE3684" w:rsidRPr="004B1DBF" w:rsidRDefault="00AE3684" w:rsidP="000C1E5F">
      <w:pPr>
        <w:rPr>
          <w:color w:val="FF0000"/>
        </w:rPr>
      </w:pPr>
      <w:r w:rsidRPr="00574624">
        <w:t xml:space="preserve">During both searches, combinations of the following keywords or key phrases in two different categories relating to </w:t>
      </w:r>
      <w:r>
        <w:t xml:space="preserve">OAS for people with sight loss </w:t>
      </w:r>
      <w:r w:rsidRPr="00574624">
        <w:t>were used: CATEGORY A KEYWORDS: visual impairment, blindness, blind, reading impairment, reading disability, visual disability (</w:t>
      </w:r>
      <w:r w:rsidRPr="00574624">
        <w:rPr>
          <w:i/>
        </w:rPr>
        <w:t xml:space="preserve">these were </w:t>
      </w:r>
      <w:r>
        <w:rPr>
          <w:i/>
        </w:rPr>
        <w:t xml:space="preserve">traditional </w:t>
      </w:r>
      <w:r w:rsidRPr="00574624">
        <w:rPr>
          <w:i/>
        </w:rPr>
        <w:t xml:space="preserve">identifiers of </w:t>
      </w:r>
      <w:r>
        <w:rPr>
          <w:i/>
        </w:rPr>
        <w:t>sight loss</w:t>
      </w:r>
      <w:r w:rsidRPr="00574624">
        <w:t xml:space="preserve">); CATEGORY B KEYWORDS: </w:t>
      </w:r>
      <w:r>
        <w:t>adult services, social services, older adult services, models of service, service provision</w:t>
      </w:r>
      <w:r w:rsidRPr="00574624">
        <w:rPr>
          <w:i/>
        </w:rPr>
        <w:t xml:space="preserve"> </w:t>
      </w:r>
      <w:r w:rsidRPr="00574624">
        <w:t>(</w:t>
      </w:r>
      <w:r w:rsidRPr="00574624">
        <w:rPr>
          <w:i/>
        </w:rPr>
        <w:t xml:space="preserve">these were identifiers of </w:t>
      </w:r>
      <w:r>
        <w:rPr>
          <w:i/>
        </w:rPr>
        <w:t>services pertaining to OAS</w:t>
      </w:r>
      <w:r w:rsidRPr="00574624">
        <w:t>). The keywords</w:t>
      </w:r>
      <w:r>
        <w:t xml:space="preserve"> in CATEGORY A</w:t>
      </w:r>
      <w:r w:rsidRPr="00574624">
        <w:t xml:space="preserve"> were adapted from previous literature searches in related fields of study</w:t>
      </w:r>
      <w:r>
        <w:rPr>
          <w:rStyle w:val="FootnoteReference"/>
          <w:color w:val="000000" w:themeColor="text1"/>
          <w:sz w:val="24"/>
          <w:szCs w:val="24"/>
        </w:rPr>
        <w:footnoteReference w:id="12"/>
      </w:r>
      <w:r>
        <w:t xml:space="preserve">. </w:t>
      </w:r>
      <w:r w:rsidRPr="00574624">
        <w:t>Each keyword from CATEGORY A was combined with each keyword from CATEGORY B and separated by a Boolean “AND,” meaning documents had to contain at least a keyword from each category.</w:t>
      </w:r>
    </w:p>
    <w:p w:rsidR="00AE3684" w:rsidRDefault="00AE3684" w:rsidP="000C1E5F">
      <w:r w:rsidRPr="00574624">
        <w:t xml:space="preserve">There were restrictions to this method of sampling </w:t>
      </w:r>
      <w:r>
        <w:t>documentation and data sets</w:t>
      </w:r>
      <w:r w:rsidRPr="00574624">
        <w:t xml:space="preserve"> that made it an imperfect science. For example, it was observed that some databases used </w:t>
      </w:r>
      <w:r w:rsidRPr="00574624">
        <w:lastRenderedPageBreak/>
        <w:t xml:space="preserve">different search algorithms. This provided potential inconsistencies in keyword searches. It was also observed </w:t>
      </w:r>
      <w:r>
        <w:t>t</w:t>
      </w:r>
      <w:r w:rsidRPr="00574624">
        <w:t xml:space="preserve">here is no definitive database of all </w:t>
      </w:r>
      <w:r>
        <w:t>service literature</w:t>
      </w:r>
      <w:r w:rsidRPr="00574624">
        <w:t>. Therefore, it was assumed that some lesser known journals, conferences and publishers were potentially missed.</w:t>
      </w:r>
    </w:p>
    <w:p w:rsidR="00AE3684" w:rsidRDefault="00AE3684" w:rsidP="000C1E5F">
      <w:r w:rsidRPr="00574624">
        <w:t>There were exceptions to this issue</w:t>
      </w:r>
      <w:r>
        <w:t xml:space="preserve"> of inconsistency</w:t>
      </w:r>
      <w:r w:rsidRPr="00574624">
        <w:t xml:space="preserve">. For instance, although generalist journals on </w:t>
      </w:r>
      <w:r>
        <w:t>sight loss</w:t>
      </w:r>
      <w:r w:rsidRPr="00574624">
        <w:t xml:space="preserve">, such as the British Journal of Visual Impairment and the Journal of Visual Impairment and Blindness, were possibly not covered by </w:t>
      </w:r>
      <w:proofErr w:type="spellStart"/>
      <w:r w:rsidRPr="00574624">
        <w:t>specialised</w:t>
      </w:r>
      <w:proofErr w:type="spellEnd"/>
      <w:r w:rsidRPr="00574624">
        <w:t xml:space="preserve"> databases, they were covered by Google Scholar and Scopus. </w:t>
      </w:r>
      <w:r>
        <w:t>This said</w:t>
      </w:r>
      <w:r w:rsidRPr="00574624">
        <w:t xml:space="preserve">, journals with articles including </w:t>
      </w:r>
      <w:r>
        <w:t>articles on OAS in general or for clients with multiple disabilities</w:t>
      </w:r>
      <w:r w:rsidRPr="00574624">
        <w:t xml:space="preserve"> – such as </w:t>
      </w:r>
      <w:r>
        <w:t>occupational therapy</w:t>
      </w:r>
      <w:r w:rsidRPr="00574624">
        <w:t xml:space="preserve"> journals - were rarely discovered in the search.</w:t>
      </w:r>
    </w:p>
    <w:p w:rsidR="00AE3684" w:rsidRDefault="006C52F6" w:rsidP="00845F0D">
      <w:pPr>
        <w:pStyle w:val="Sub-head"/>
      </w:pPr>
      <w:r>
        <w:t xml:space="preserve">3.3 </w:t>
      </w:r>
      <w:r w:rsidR="00AE3684" w:rsidRPr="00574624">
        <w:t>Implementing the Three Phases of Data Analysis</w:t>
      </w:r>
    </w:p>
    <w:p w:rsidR="00845F0D" w:rsidRDefault="00AE3684" w:rsidP="0091088A">
      <w:r>
        <w:t>The three phases of data analysis are outlined in Figure 2, and were initially conducted informally as the data was collected and sifted more formally according to its three stages after the data had all been collected.</w:t>
      </w:r>
    </w:p>
    <w:p w:rsidR="00845F0D" w:rsidRPr="00845F0D" w:rsidRDefault="00AE3684" w:rsidP="00845F0D">
      <w:pPr>
        <w:pStyle w:val="Sub-head"/>
      </w:pPr>
      <w:r w:rsidRPr="00280B10">
        <w:t>Figure 2: Outline of the Stages of Analysis Used During the Study</w:t>
      </w:r>
      <w:r>
        <w:t>: [verbal image] an image of a circle split into three parts, with arrows showing the direction of the study in each part. The last arrow points to the beginning of phase one, making the process never-ending.</w:t>
      </w:r>
    </w:p>
    <w:p w:rsidR="00AE3684" w:rsidRPr="00877D0E" w:rsidRDefault="00AE3684" w:rsidP="00AE3684">
      <w:pPr>
        <w:spacing w:line="480" w:lineRule="auto"/>
        <w:rPr>
          <w:rFonts w:ascii="Times New Roman" w:hAnsi="Times New Roman" w:cs="Times New Roman"/>
          <w:color w:val="000000" w:themeColor="text1"/>
          <w:sz w:val="24"/>
          <w:szCs w:val="24"/>
        </w:rPr>
      </w:pPr>
      <w:r>
        <w:rPr>
          <w:noProof/>
        </w:rPr>
        <w:drawing>
          <wp:inline distT="0" distB="0" distL="0" distR="0" wp14:anchorId="13E3D0E0" wp14:editId="25D0D035">
            <wp:extent cx="2774887" cy="2463165"/>
            <wp:effectExtent l="0" t="0" r="0" b="635"/>
            <wp:docPr id="4" name="Diagram 4">
              <a:extLst xmlns:a="http://schemas.openxmlformats.org/drawingml/2006/main">
                <a:ext uri="{FF2B5EF4-FFF2-40B4-BE49-F238E27FC236}">
                  <a16:creationId xmlns:a16="http://schemas.microsoft.com/office/drawing/2014/main" id="{1EF6D689-14F4-4A45-8CB3-E09CE4B3C45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952379" w:rsidRDefault="00952379" w:rsidP="00845F0D"/>
    <w:p w:rsidR="00AE3684" w:rsidRPr="00BD1A73" w:rsidRDefault="00AE3684" w:rsidP="00845F0D">
      <w:r w:rsidRPr="00574624">
        <w:t xml:space="preserve">During the </w:t>
      </w:r>
      <w:r>
        <w:t>first</w:t>
      </w:r>
      <w:r w:rsidRPr="00574624">
        <w:t xml:space="preserve"> phase</w:t>
      </w:r>
      <w:r>
        <w:t>, NCBI’s existing services were analysed against inclusive capital’s five stages. This information was then compared to demographic information from the 2016 Irish Census, and the initial search of the eight top jurisdictions which were adjudged to be similar to Ireland. As this was not a statistical study, only processed data from the Irish Census 2016 was considered, as it was felt that introducing other data sets gathered using different methodologies would lead to inconsistencies. From this data, heat maps and graphs were also referred to, and combinations of variables that arose in the categories of service were identified. From this information, categories of analysis were made for the second phase.</w:t>
      </w:r>
    </w:p>
    <w:p w:rsidR="00AE3684" w:rsidRDefault="00AE3684" w:rsidP="00845F0D">
      <w:r w:rsidRPr="00574624">
        <w:t xml:space="preserve">During the </w:t>
      </w:r>
      <w:r>
        <w:t>second</w:t>
      </w:r>
      <w:r w:rsidRPr="00574624">
        <w:t xml:space="preserve"> phase, </w:t>
      </w:r>
      <w:r>
        <w:t>the categories identified in the first phase had further analysis, with links being made between different jurisdictions and their cultural context. In this phase of analysis only qualitative data was considered, along with descriptions of services relevant to OA and SOA. In this meta-analysis, trends in overlapping services were observed and further searches of the services were conducted through their webpages. In addition, and in consultation with NCBI, the management of volunteers was identified as an area that needed extra attention in this analysis. It was at the end of this section of the research that a tentative hypothesis was formed, which became a focus of the third phase of research.</w:t>
      </w:r>
    </w:p>
    <w:p w:rsidR="00AE3684" w:rsidRPr="00574624" w:rsidRDefault="00AE3684" w:rsidP="00845F0D">
      <w:r w:rsidRPr="00574624">
        <w:t xml:space="preserve">During the </w:t>
      </w:r>
      <w:r>
        <w:t>third</w:t>
      </w:r>
      <w:r w:rsidRPr="00574624">
        <w:t xml:space="preserve"> phase, </w:t>
      </w:r>
      <w:r>
        <w:t>the hypothesis was tested using the literature from the search of academic literature and, after consultation with NCBI, the low uptake of OAS internationally was also considered. Through this analysis, the hypothesis was refined and made more robust and allowed conclusions to be drawn.</w:t>
      </w:r>
    </w:p>
    <w:p w:rsidR="00AE3684" w:rsidRDefault="00AE3684" w:rsidP="00AE3684">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AE3684" w:rsidRPr="00574624" w:rsidRDefault="006C52F6" w:rsidP="00845F0D">
      <w:pPr>
        <w:pStyle w:val="Heading"/>
      </w:pPr>
      <w:r>
        <w:lastRenderedPageBreak/>
        <w:t>4</w:t>
      </w:r>
      <w:r w:rsidR="00845F0D">
        <w:t xml:space="preserve"> </w:t>
      </w:r>
      <w:r w:rsidR="00AE3684" w:rsidRPr="00574624">
        <w:t xml:space="preserve">Analysis of the </w:t>
      </w:r>
      <w:r w:rsidR="00AE3684">
        <w:t>First</w:t>
      </w:r>
      <w:r w:rsidR="00AE3684" w:rsidRPr="00574624">
        <w:t xml:space="preserve"> Phase</w:t>
      </w:r>
    </w:p>
    <w:p w:rsidR="00AE3684" w:rsidRPr="00574624" w:rsidRDefault="006C52F6" w:rsidP="007E761E">
      <w:pPr>
        <w:pStyle w:val="Sub-head"/>
      </w:pPr>
      <w:r>
        <w:t>4</w:t>
      </w:r>
      <w:r w:rsidR="007E761E">
        <w:t xml:space="preserve">.1 </w:t>
      </w:r>
      <w:r w:rsidR="00AE3684" w:rsidRPr="00574624">
        <w:t>Initial Observations: A</w:t>
      </w:r>
      <w:r w:rsidR="00AE3684">
        <w:t>n Over</w:t>
      </w:r>
      <w:r w:rsidR="00AE3684" w:rsidRPr="00574624">
        <w:t xml:space="preserve">view of </w:t>
      </w:r>
      <w:r w:rsidR="00AE3684">
        <w:t>Demographics, the NCBI and OAS in Similar Jurisdictions</w:t>
      </w:r>
    </w:p>
    <w:p w:rsidR="00AE3684" w:rsidRDefault="00AE3684" w:rsidP="007E761E">
      <w:r>
        <w:t>According to the Irish Central Statistics Office (CSO), in 2016 Ireland had a p</w:t>
      </w:r>
      <w:r w:rsidRPr="008A7850">
        <w:t>opulation</w:t>
      </w:r>
      <w:r>
        <w:t xml:space="preserve"> of over</w:t>
      </w:r>
      <w:r w:rsidRPr="008A7850">
        <w:t xml:space="preserve"> 4,700,000</w:t>
      </w:r>
      <w:r>
        <w:t xml:space="preserve"> people and an increased average age of </w:t>
      </w:r>
      <w:r w:rsidRPr="003A6854">
        <w:t>81.6 years</w:t>
      </w:r>
      <w:r>
        <w:t xml:space="preserve"> – NB this figure does not take account of gender. Within this general p</w:t>
      </w:r>
      <w:r w:rsidRPr="008A7850">
        <w:t>opulation</w:t>
      </w:r>
      <w:r>
        <w:t>,</w:t>
      </w:r>
      <w:r w:rsidRPr="008A7850">
        <w:t xml:space="preserve"> 643,000</w:t>
      </w:r>
      <w:r>
        <w:t xml:space="preserve"> people</w:t>
      </w:r>
      <w:r w:rsidRPr="008A7850">
        <w:t xml:space="preserve"> </w:t>
      </w:r>
      <w:r>
        <w:t xml:space="preserve">were identified as having at least one form of disability, and over </w:t>
      </w:r>
      <w:r w:rsidRPr="00153F1A">
        <w:t>54,8</w:t>
      </w:r>
      <w:r>
        <w:t>0</w:t>
      </w:r>
      <w:r w:rsidRPr="00153F1A">
        <w:t>0</w:t>
      </w:r>
      <w:r>
        <w:t xml:space="preserve"> people were identified as having sight loss.</w:t>
      </w:r>
      <w:r>
        <w:rPr>
          <w:rStyle w:val="FootnoteReference"/>
          <w:color w:val="000000" w:themeColor="text1"/>
          <w:sz w:val="24"/>
          <w:szCs w:val="24"/>
        </w:rPr>
        <w:footnoteReference w:id="13"/>
      </w:r>
      <w:r>
        <w:t xml:space="preserve"> A full breakdown of those forms of disability in 2016 identified by CSO is identified in Table 1.</w:t>
      </w:r>
    </w:p>
    <w:p w:rsidR="00AE3684" w:rsidRDefault="00AE3684" w:rsidP="0091088A">
      <w:pPr>
        <w:pStyle w:val="Sub-head"/>
      </w:pPr>
      <w:r>
        <w:t xml:space="preserve">Table 1: </w:t>
      </w:r>
      <w:r w:rsidRPr="00153F1A">
        <w:t xml:space="preserve">Persons with a Disability (Number) by Disability Type and Census Year – NB </w:t>
      </w:r>
      <w:r>
        <w:t>OA may have o</w:t>
      </w:r>
      <w:r w:rsidRPr="00153F1A">
        <w:t>ne or more impairment</w:t>
      </w:r>
      <w:r>
        <w:t>.</w:t>
      </w:r>
    </w:p>
    <w:p w:rsidR="0091088A" w:rsidRPr="0091088A" w:rsidRDefault="0091088A" w:rsidP="0091088A">
      <w:pPr>
        <w:pStyle w:val="Sub-head"/>
      </w:pPr>
    </w:p>
    <w:tbl>
      <w:tblPr>
        <w:tblW w:w="4961" w:type="dxa"/>
        <w:jc w:val="center"/>
        <w:tblCellMar>
          <w:left w:w="0" w:type="dxa"/>
          <w:right w:w="0" w:type="dxa"/>
        </w:tblCellMar>
        <w:tblLook w:val="0600" w:firstRow="0" w:lastRow="0" w:firstColumn="0" w:lastColumn="0" w:noHBand="1" w:noVBand="1"/>
      </w:tblPr>
      <w:tblGrid>
        <w:gridCol w:w="3969"/>
        <w:gridCol w:w="992"/>
      </w:tblGrid>
      <w:tr w:rsidR="00845F0D" w:rsidRPr="00153F1A" w:rsidTr="00845F0D">
        <w:trPr>
          <w:trHeight w:val="424"/>
          <w:jc w:val="center"/>
        </w:trPr>
        <w:tc>
          <w:tcPr>
            <w:tcW w:w="3969" w:type="dxa"/>
            <w:tcBorders>
              <w:top w:val="single" w:sz="6" w:space="0" w:color="006699"/>
              <w:left w:val="nil"/>
              <w:bottom w:val="single" w:sz="6" w:space="0" w:color="006699"/>
              <w:right w:val="nil"/>
            </w:tcBorders>
            <w:shd w:val="clear" w:color="auto" w:fill="auto"/>
            <w:tcMar>
              <w:top w:w="49" w:type="dxa"/>
              <w:left w:w="97" w:type="dxa"/>
              <w:bottom w:w="49" w:type="dxa"/>
              <w:right w:w="101" w:type="dxa"/>
            </w:tcMar>
            <w:vAlign w:val="center"/>
            <w:hideMark/>
          </w:tcPr>
          <w:p w:rsidR="00AE3684" w:rsidRPr="00153F1A" w:rsidRDefault="00AE3684" w:rsidP="00845F0D">
            <w:pPr>
              <w:pStyle w:val="BodyText"/>
            </w:pPr>
            <w:r w:rsidRPr="00153F1A">
              <w:t>Total persons with a disability</w:t>
            </w:r>
          </w:p>
        </w:tc>
        <w:tc>
          <w:tcPr>
            <w:tcW w:w="992" w:type="dxa"/>
            <w:tcBorders>
              <w:top w:val="single" w:sz="6" w:space="0" w:color="006699"/>
              <w:left w:val="nil"/>
              <w:bottom w:val="single" w:sz="6" w:space="0" w:color="006699"/>
              <w:right w:val="nil"/>
            </w:tcBorders>
            <w:shd w:val="clear" w:color="auto" w:fill="auto"/>
            <w:tcMar>
              <w:top w:w="49" w:type="dxa"/>
              <w:left w:w="97" w:type="dxa"/>
              <w:bottom w:w="49" w:type="dxa"/>
              <w:right w:w="97" w:type="dxa"/>
            </w:tcMar>
            <w:vAlign w:val="center"/>
            <w:hideMark/>
          </w:tcPr>
          <w:p w:rsidR="00AE3684" w:rsidRPr="00153F1A" w:rsidRDefault="00AE3684" w:rsidP="00845F0D">
            <w:pPr>
              <w:pStyle w:val="BodyText"/>
            </w:pPr>
          </w:p>
        </w:tc>
      </w:tr>
      <w:tr w:rsidR="00845F0D" w:rsidRPr="00153F1A" w:rsidTr="00845F0D">
        <w:trPr>
          <w:trHeight w:val="558"/>
          <w:jc w:val="center"/>
        </w:trPr>
        <w:tc>
          <w:tcPr>
            <w:tcW w:w="3969" w:type="dxa"/>
            <w:tcBorders>
              <w:top w:val="single" w:sz="6" w:space="0" w:color="006699"/>
              <w:left w:val="nil"/>
              <w:bottom w:val="single" w:sz="6" w:space="0" w:color="006699"/>
              <w:right w:val="nil"/>
            </w:tcBorders>
            <w:shd w:val="clear" w:color="auto" w:fill="auto"/>
            <w:tcMar>
              <w:top w:w="49" w:type="dxa"/>
              <w:left w:w="142" w:type="dxa"/>
              <w:bottom w:w="49" w:type="dxa"/>
              <w:right w:w="101" w:type="dxa"/>
            </w:tcMar>
            <w:vAlign w:val="center"/>
            <w:hideMark/>
          </w:tcPr>
          <w:p w:rsidR="00AE3684" w:rsidRPr="00153F1A" w:rsidRDefault="00AE3684" w:rsidP="00845F0D">
            <w:pPr>
              <w:pStyle w:val="BodyText"/>
            </w:pPr>
            <w:r w:rsidRPr="00153F1A">
              <w:t>Blindness or a serious vision impairment</w:t>
            </w:r>
          </w:p>
        </w:tc>
        <w:tc>
          <w:tcPr>
            <w:tcW w:w="992" w:type="dxa"/>
            <w:tcBorders>
              <w:top w:val="single" w:sz="6" w:space="0" w:color="006699"/>
              <w:left w:val="nil"/>
              <w:bottom w:val="single" w:sz="6" w:space="0" w:color="006699"/>
              <w:right w:val="nil"/>
            </w:tcBorders>
            <w:shd w:val="clear" w:color="auto" w:fill="auto"/>
            <w:tcMar>
              <w:top w:w="49" w:type="dxa"/>
              <w:left w:w="101" w:type="dxa"/>
              <w:bottom w:w="49" w:type="dxa"/>
              <w:right w:w="97" w:type="dxa"/>
            </w:tcMar>
            <w:vAlign w:val="center"/>
            <w:hideMark/>
          </w:tcPr>
          <w:p w:rsidR="00AE3684" w:rsidRPr="00153F1A" w:rsidRDefault="00AE3684" w:rsidP="00845F0D">
            <w:pPr>
              <w:pStyle w:val="BodyText"/>
            </w:pPr>
            <w:r w:rsidRPr="00153F1A">
              <w:t>54,810</w:t>
            </w:r>
          </w:p>
        </w:tc>
      </w:tr>
      <w:tr w:rsidR="00845F0D" w:rsidRPr="00153F1A" w:rsidTr="00845F0D">
        <w:trPr>
          <w:trHeight w:val="558"/>
          <w:jc w:val="center"/>
        </w:trPr>
        <w:tc>
          <w:tcPr>
            <w:tcW w:w="3969" w:type="dxa"/>
            <w:tcBorders>
              <w:top w:val="single" w:sz="6" w:space="0" w:color="006699"/>
              <w:left w:val="nil"/>
              <w:bottom w:val="single" w:sz="6" w:space="0" w:color="006699"/>
              <w:right w:val="nil"/>
            </w:tcBorders>
            <w:shd w:val="clear" w:color="auto" w:fill="auto"/>
            <w:tcMar>
              <w:top w:w="49" w:type="dxa"/>
              <w:left w:w="142" w:type="dxa"/>
              <w:bottom w:w="49" w:type="dxa"/>
              <w:right w:w="101" w:type="dxa"/>
            </w:tcMar>
            <w:vAlign w:val="center"/>
            <w:hideMark/>
          </w:tcPr>
          <w:p w:rsidR="00AE3684" w:rsidRPr="00153F1A" w:rsidRDefault="00AE3684" w:rsidP="00845F0D">
            <w:pPr>
              <w:pStyle w:val="BodyText"/>
            </w:pPr>
            <w:r w:rsidRPr="00153F1A">
              <w:t>Deafness or a serious hearing impairment</w:t>
            </w:r>
          </w:p>
        </w:tc>
        <w:tc>
          <w:tcPr>
            <w:tcW w:w="992" w:type="dxa"/>
            <w:tcBorders>
              <w:top w:val="single" w:sz="6" w:space="0" w:color="006699"/>
              <w:left w:val="nil"/>
              <w:bottom w:val="single" w:sz="6" w:space="0" w:color="006699"/>
              <w:right w:val="nil"/>
            </w:tcBorders>
            <w:shd w:val="clear" w:color="auto" w:fill="auto"/>
            <w:tcMar>
              <w:top w:w="49" w:type="dxa"/>
              <w:left w:w="101" w:type="dxa"/>
              <w:bottom w:w="49" w:type="dxa"/>
              <w:right w:w="97" w:type="dxa"/>
            </w:tcMar>
            <w:vAlign w:val="center"/>
            <w:hideMark/>
          </w:tcPr>
          <w:p w:rsidR="00AE3684" w:rsidRPr="00153F1A" w:rsidRDefault="00AE3684" w:rsidP="00845F0D">
            <w:pPr>
              <w:pStyle w:val="BodyText"/>
            </w:pPr>
            <w:r w:rsidRPr="00153F1A">
              <w:t>103,676</w:t>
            </w:r>
          </w:p>
        </w:tc>
      </w:tr>
      <w:tr w:rsidR="00845F0D" w:rsidRPr="00153F1A" w:rsidTr="00845F0D">
        <w:trPr>
          <w:trHeight w:val="590"/>
          <w:jc w:val="center"/>
        </w:trPr>
        <w:tc>
          <w:tcPr>
            <w:tcW w:w="3969" w:type="dxa"/>
            <w:tcBorders>
              <w:top w:val="single" w:sz="6" w:space="0" w:color="006699"/>
              <w:left w:val="nil"/>
              <w:bottom w:val="single" w:sz="6" w:space="0" w:color="006699"/>
              <w:right w:val="nil"/>
            </w:tcBorders>
            <w:shd w:val="clear" w:color="auto" w:fill="auto"/>
            <w:tcMar>
              <w:top w:w="49" w:type="dxa"/>
              <w:left w:w="142" w:type="dxa"/>
              <w:bottom w:w="49" w:type="dxa"/>
              <w:right w:w="101" w:type="dxa"/>
            </w:tcMar>
            <w:vAlign w:val="center"/>
            <w:hideMark/>
          </w:tcPr>
          <w:p w:rsidR="00AE3684" w:rsidRPr="00153F1A" w:rsidRDefault="00AE3684" w:rsidP="00845F0D">
            <w:pPr>
              <w:pStyle w:val="BodyText"/>
            </w:pPr>
            <w:r w:rsidRPr="00153F1A">
              <w:t>A condition that substantially limits one or more basic physical activities</w:t>
            </w:r>
          </w:p>
        </w:tc>
        <w:tc>
          <w:tcPr>
            <w:tcW w:w="992" w:type="dxa"/>
            <w:tcBorders>
              <w:top w:val="single" w:sz="6" w:space="0" w:color="006699"/>
              <w:left w:val="nil"/>
              <w:bottom w:val="single" w:sz="6" w:space="0" w:color="006699"/>
              <w:right w:val="nil"/>
            </w:tcBorders>
            <w:shd w:val="clear" w:color="auto" w:fill="auto"/>
            <w:tcMar>
              <w:top w:w="49" w:type="dxa"/>
              <w:left w:w="101" w:type="dxa"/>
              <w:bottom w:w="49" w:type="dxa"/>
              <w:right w:w="97" w:type="dxa"/>
            </w:tcMar>
            <w:vAlign w:val="center"/>
            <w:hideMark/>
          </w:tcPr>
          <w:p w:rsidR="00AE3684" w:rsidRPr="00153F1A" w:rsidRDefault="00AE3684" w:rsidP="00845F0D">
            <w:pPr>
              <w:pStyle w:val="BodyText"/>
            </w:pPr>
            <w:r w:rsidRPr="00153F1A">
              <w:t>262,818</w:t>
            </w:r>
          </w:p>
        </w:tc>
      </w:tr>
      <w:tr w:rsidR="00845F0D" w:rsidRPr="00153F1A" w:rsidTr="00845F0D">
        <w:trPr>
          <w:trHeight w:val="424"/>
          <w:jc w:val="center"/>
        </w:trPr>
        <w:tc>
          <w:tcPr>
            <w:tcW w:w="3969" w:type="dxa"/>
            <w:tcBorders>
              <w:top w:val="single" w:sz="6" w:space="0" w:color="006699"/>
              <w:left w:val="nil"/>
              <w:bottom w:val="single" w:sz="6" w:space="0" w:color="006699"/>
              <w:right w:val="nil"/>
            </w:tcBorders>
            <w:shd w:val="clear" w:color="auto" w:fill="auto"/>
            <w:tcMar>
              <w:top w:w="49" w:type="dxa"/>
              <w:left w:w="142" w:type="dxa"/>
              <w:bottom w:w="49" w:type="dxa"/>
              <w:right w:w="101" w:type="dxa"/>
            </w:tcMar>
            <w:vAlign w:val="center"/>
            <w:hideMark/>
          </w:tcPr>
          <w:p w:rsidR="00AE3684" w:rsidRPr="00153F1A" w:rsidRDefault="00AE3684" w:rsidP="00845F0D">
            <w:pPr>
              <w:pStyle w:val="BodyText"/>
            </w:pPr>
            <w:r w:rsidRPr="00153F1A">
              <w:t>An intellectual disability</w:t>
            </w:r>
          </w:p>
        </w:tc>
        <w:tc>
          <w:tcPr>
            <w:tcW w:w="992" w:type="dxa"/>
            <w:tcBorders>
              <w:top w:val="single" w:sz="6" w:space="0" w:color="006699"/>
              <w:left w:val="nil"/>
              <w:bottom w:val="single" w:sz="6" w:space="0" w:color="006699"/>
              <w:right w:val="nil"/>
            </w:tcBorders>
            <w:shd w:val="clear" w:color="auto" w:fill="auto"/>
            <w:tcMar>
              <w:top w:w="49" w:type="dxa"/>
              <w:left w:w="101" w:type="dxa"/>
              <w:bottom w:w="49" w:type="dxa"/>
              <w:right w:w="97" w:type="dxa"/>
            </w:tcMar>
            <w:vAlign w:val="center"/>
            <w:hideMark/>
          </w:tcPr>
          <w:p w:rsidR="00AE3684" w:rsidRPr="00153F1A" w:rsidRDefault="00AE3684" w:rsidP="00845F0D">
            <w:pPr>
              <w:pStyle w:val="BodyText"/>
            </w:pPr>
            <w:r w:rsidRPr="00153F1A">
              <w:t>66,611</w:t>
            </w:r>
          </w:p>
        </w:tc>
      </w:tr>
      <w:tr w:rsidR="00845F0D" w:rsidRPr="00153F1A" w:rsidTr="00845F0D">
        <w:trPr>
          <w:trHeight w:val="558"/>
          <w:jc w:val="center"/>
        </w:trPr>
        <w:tc>
          <w:tcPr>
            <w:tcW w:w="3969" w:type="dxa"/>
            <w:tcBorders>
              <w:top w:val="single" w:sz="6" w:space="0" w:color="006699"/>
              <w:left w:val="nil"/>
              <w:bottom w:val="single" w:sz="6" w:space="0" w:color="006699"/>
              <w:right w:val="nil"/>
            </w:tcBorders>
            <w:shd w:val="clear" w:color="auto" w:fill="auto"/>
            <w:tcMar>
              <w:top w:w="49" w:type="dxa"/>
              <w:left w:w="142" w:type="dxa"/>
              <w:bottom w:w="49" w:type="dxa"/>
              <w:right w:w="101" w:type="dxa"/>
            </w:tcMar>
            <w:vAlign w:val="center"/>
            <w:hideMark/>
          </w:tcPr>
          <w:p w:rsidR="00AE3684" w:rsidRPr="00153F1A" w:rsidRDefault="00AE3684" w:rsidP="00845F0D">
            <w:pPr>
              <w:pStyle w:val="BodyText"/>
            </w:pPr>
            <w:r w:rsidRPr="00153F1A">
              <w:t>Difficulty in learning, remembering or concentrating</w:t>
            </w:r>
          </w:p>
        </w:tc>
        <w:tc>
          <w:tcPr>
            <w:tcW w:w="992" w:type="dxa"/>
            <w:tcBorders>
              <w:top w:val="single" w:sz="6" w:space="0" w:color="006699"/>
              <w:left w:val="nil"/>
              <w:bottom w:val="single" w:sz="6" w:space="0" w:color="006699"/>
              <w:right w:val="nil"/>
            </w:tcBorders>
            <w:shd w:val="clear" w:color="auto" w:fill="auto"/>
            <w:tcMar>
              <w:top w:w="49" w:type="dxa"/>
              <w:left w:w="101" w:type="dxa"/>
              <w:bottom w:w="49" w:type="dxa"/>
              <w:right w:w="97" w:type="dxa"/>
            </w:tcMar>
            <w:vAlign w:val="center"/>
            <w:hideMark/>
          </w:tcPr>
          <w:p w:rsidR="00AE3684" w:rsidRPr="00153F1A" w:rsidRDefault="00AE3684" w:rsidP="00845F0D">
            <w:pPr>
              <w:pStyle w:val="BodyText"/>
            </w:pPr>
            <w:r w:rsidRPr="00153F1A">
              <w:t>156,968</w:t>
            </w:r>
          </w:p>
        </w:tc>
      </w:tr>
      <w:tr w:rsidR="00845F0D" w:rsidRPr="00153F1A" w:rsidTr="00845F0D">
        <w:trPr>
          <w:trHeight w:val="424"/>
          <w:jc w:val="center"/>
        </w:trPr>
        <w:tc>
          <w:tcPr>
            <w:tcW w:w="3969" w:type="dxa"/>
            <w:tcBorders>
              <w:top w:val="single" w:sz="6" w:space="0" w:color="006699"/>
              <w:left w:val="nil"/>
              <w:bottom w:val="single" w:sz="6" w:space="0" w:color="006699"/>
              <w:right w:val="nil"/>
            </w:tcBorders>
            <w:shd w:val="clear" w:color="auto" w:fill="auto"/>
            <w:tcMar>
              <w:top w:w="49" w:type="dxa"/>
              <w:left w:w="142" w:type="dxa"/>
              <w:bottom w:w="49" w:type="dxa"/>
              <w:right w:w="101" w:type="dxa"/>
            </w:tcMar>
            <w:vAlign w:val="center"/>
            <w:hideMark/>
          </w:tcPr>
          <w:p w:rsidR="00AE3684" w:rsidRPr="00153F1A" w:rsidRDefault="00AE3684" w:rsidP="00845F0D">
            <w:pPr>
              <w:pStyle w:val="BodyText"/>
            </w:pPr>
            <w:r w:rsidRPr="00153F1A">
              <w:t>Psychological or emotional condition</w:t>
            </w:r>
          </w:p>
        </w:tc>
        <w:tc>
          <w:tcPr>
            <w:tcW w:w="992" w:type="dxa"/>
            <w:tcBorders>
              <w:top w:val="single" w:sz="6" w:space="0" w:color="006699"/>
              <w:left w:val="nil"/>
              <w:bottom w:val="single" w:sz="6" w:space="0" w:color="006699"/>
              <w:right w:val="nil"/>
            </w:tcBorders>
            <w:shd w:val="clear" w:color="auto" w:fill="auto"/>
            <w:tcMar>
              <w:top w:w="49" w:type="dxa"/>
              <w:left w:w="101" w:type="dxa"/>
              <w:bottom w:w="49" w:type="dxa"/>
              <w:right w:w="97" w:type="dxa"/>
            </w:tcMar>
            <w:vAlign w:val="center"/>
            <w:hideMark/>
          </w:tcPr>
          <w:p w:rsidR="00AE3684" w:rsidRPr="00153F1A" w:rsidRDefault="00AE3684" w:rsidP="00845F0D">
            <w:pPr>
              <w:pStyle w:val="BodyText"/>
            </w:pPr>
            <w:r w:rsidRPr="00153F1A">
              <w:t>123,515</w:t>
            </w:r>
          </w:p>
        </w:tc>
      </w:tr>
      <w:tr w:rsidR="00845F0D" w:rsidRPr="00153F1A" w:rsidTr="00845F0D">
        <w:trPr>
          <w:trHeight w:val="558"/>
          <w:jc w:val="center"/>
        </w:trPr>
        <w:tc>
          <w:tcPr>
            <w:tcW w:w="3969" w:type="dxa"/>
            <w:tcBorders>
              <w:top w:val="single" w:sz="6" w:space="0" w:color="006699"/>
              <w:left w:val="nil"/>
              <w:bottom w:val="single" w:sz="6" w:space="0" w:color="006699"/>
              <w:right w:val="nil"/>
            </w:tcBorders>
            <w:shd w:val="clear" w:color="auto" w:fill="auto"/>
            <w:tcMar>
              <w:top w:w="49" w:type="dxa"/>
              <w:left w:w="142" w:type="dxa"/>
              <w:bottom w:w="49" w:type="dxa"/>
              <w:right w:w="101" w:type="dxa"/>
            </w:tcMar>
            <w:vAlign w:val="center"/>
            <w:hideMark/>
          </w:tcPr>
          <w:p w:rsidR="00AE3684" w:rsidRPr="00153F1A" w:rsidRDefault="00AE3684" w:rsidP="00845F0D">
            <w:pPr>
              <w:pStyle w:val="BodyText"/>
            </w:pPr>
            <w:r w:rsidRPr="00153F1A">
              <w:t>Other disability, including chronic illness</w:t>
            </w:r>
          </w:p>
        </w:tc>
        <w:tc>
          <w:tcPr>
            <w:tcW w:w="992" w:type="dxa"/>
            <w:tcBorders>
              <w:top w:val="single" w:sz="6" w:space="0" w:color="006699"/>
              <w:left w:val="nil"/>
              <w:bottom w:val="single" w:sz="6" w:space="0" w:color="006699"/>
              <w:right w:val="nil"/>
            </w:tcBorders>
            <w:shd w:val="clear" w:color="auto" w:fill="auto"/>
            <w:tcMar>
              <w:top w:w="49" w:type="dxa"/>
              <w:left w:w="101" w:type="dxa"/>
              <w:bottom w:w="49" w:type="dxa"/>
              <w:right w:w="97" w:type="dxa"/>
            </w:tcMar>
            <w:vAlign w:val="center"/>
            <w:hideMark/>
          </w:tcPr>
          <w:p w:rsidR="00AE3684" w:rsidRPr="00153F1A" w:rsidRDefault="00AE3684" w:rsidP="00845F0D">
            <w:pPr>
              <w:pStyle w:val="BodyText"/>
            </w:pPr>
            <w:r w:rsidRPr="00153F1A">
              <w:t>296,783</w:t>
            </w:r>
          </w:p>
        </w:tc>
      </w:tr>
      <w:tr w:rsidR="00845F0D" w:rsidRPr="00153F1A" w:rsidTr="00845F0D">
        <w:trPr>
          <w:trHeight w:val="590"/>
          <w:jc w:val="center"/>
        </w:trPr>
        <w:tc>
          <w:tcPr>
            <w:tcW w:w="3969" w:type="dxa"/>
            <w:tcBorders>
              <w:top w:val="single" w:sz="6" w:space="0" w:color="006699"/>
              <w:left w:val="nil"/>
              <w:bottom w:val="single" w:sz="6" w:space="0" w:color="006699"/>
              <w:right w:val="nil"/>
            </w:tcBorders>
            <w:shd w:val="clear" w:color="auto" w:fill="auto"/>
            <w:tcMar>
              <w:top w:w="49" w:type="dxa"/>
              <w:left w:w="142" w:type="dxa"/>
              <w:bottom w:w="49" w:type="dxa"/>
              <w:right w:w="101" w:type="dxa"/>
            </w:tcMar>
            <w:vAlign w:val="center"/>
            <w:hideMark/>
          </w:tcPr>
          <w:p w:rsidR="00AE3684" w:rsidRPr="00153F1A" w:rsidRDefault="00AE3684" w:rsidP="00845F0D">
            <w:pPr>
              <w:pStyle w:val="BodyText"/>
            </w:pPr>
            <w:r w:rsidRPr="00153F1A">
              <w:t>Difficulty in dressing, bathing or getting around inside the home</w:t>
            </w:r>
          </w:p>
        </w:tc>
        <w:tc>
          <w:tcPr>
            <w:tcW w:w="992" w:type="dxa"/>
            <w:tcBorders>
              <w:top w:val="single" w:sz="6" w:space="0" w:color="006699"/>
              <w:left w:val="nil"/>
              <w:bottom w:val="single" w:sz="6" w:space="0" w:color="006699"/>
              <w:right w:val="nil"/>
            </w:tcBorders>
            <w:shd w:val="clear" w:color="auto" w:fill="auto"/>
            <w:tcMar>
              <w:top w:w="49" w:type="dxa"/>
              <w:left w:w="101" w:type="dxa"/>
              <w:bottom w:w="49" w:type="dxa"/>
              <w:right w:w="97" w:type="dxa"/>
            </w:tcMar>
            <w:vAlign w:val="center"/>
            <w:hideMark/>
          </w:tcPr>
          <w:p w:rsidR="00AE3684" w:rsidRPr="00153F1A" w:rsidRDefault="00AE3684" w:rsidP="00845F0D">
            <w:pPr>
              <w:pStyle w:val="BodyText"/>
            </w:pPr>
            <w:r w:rsidRPr="00153F1A">
              <w:t>140,366</w:t>
            </w:r>
          </w:p>
        </w:tc>
      </w:tr>
      <w:tr w:rsidR="00845F0D" w:rsidRPr="00153F1A" w:rsidTr="00845F0D">
        <w:trPr>
          <w:trHeight w:val="558"/>
          <w:jc w:val="center"/>
        </w:trPr>
        <w:tc>
          <w:tcPr>
            <w:tcW w:w="3969" w:type="dxa"/>
            <w:tcBorders>
              <w:top w:val="single" w:sz="6" w:space="0" w:color="006699"/>
              <w:left w:val="nil"/>
              <w:bottom w:val="single" w:sz="6" w:space="0" w:color="006699"/>
              <w:right w:val="nil"/>
            </w:tcBorders>
            <w:shd w:val="clear" w:color="auto" w:fill="auto"/>
            <w:tcMar>
              <w:top w:w="49" w:type="dxa"/>
              <w:left w:w="142" w:type="dxa"/>
              <w:bottom w:w="49" w:type="dxa"/>
              <w:right w:w="101" w:type="dxa"/>
            </w:tcMar>
            <w:vAlign w:val="center"/>
            <w:hideMark/>
          </w:tcPr>
          <w:p w:rsidR="00AE3684" w:rsidRPr="00153F1A" w:rsidRDefault="00AE3684" w:rsidP="00845F0D">
            <w:pPr>
              <w:pStyle w:val="BodyText"/>
            </w:pPr>
            <w:r w:rsidRPr="00153F1A">
              <w:t>Difficulty in going outside home alone</w:t>
            </w:r>
          </w:p>
        </w:tc>
        <w:tc>
          <w:tcPr>
            <w:tcW w:w="992" w:type="dxa"/>
            <w:tcBorders>
              <w:top w:val="single" w:sz="6" w:space="0" w:color="006699"/>
              <w:left w:val="nil"/>
              <w:bottom w:val="single" w:sz="6" w:space="0" w:color="006699"/>
              <w:right w:val="nil"/>
            </w:tcBorders>
            <w:shd w:val="clear" w:color="auto" w:fill="auto"/>
            <w:tcMar>
              <w:top w:w="49" w:type="dxa"/>
              <w:left w:w="101" w:type="dxa"/>
              <w:bottom w:w="49" w:type="dxa"/>
              <w:right w:w="97" w:type="dxa"/>
            </w:tcMar>
            <w:vAlign w:val="center"/>
            <w:hideMark/>
          </w:tcPr>
          <w:p w:rsidR="00AE3684" w:rsidRPr="00153F1A" w:rsidRDefault="00AE3684" w:rsidP="00845F0D">
            <w:pPr>
              <w:pStyle w:val="BodyText"/>
            </w:pPr>
            <w:r w:rsidRPr="00153F1A">
              <w:t>184,945</w:t>
            </w:r>
          </w:p>
        </w:tc>
      </w:tr>
      <w:tr w:rsidR="00845F0D" w:rsidRPr="00153F1A" w:rsidTr="00845F0D">
        <w:trPr>
          <w:trHeight w:val="558"/>
          <w:jc w:val="center"/>
        </w:trPr>
        <w:tc>
          <w:tcPr>
            <w:tcW w:w="3969" w:type="dxa"/>
            <w:tcBorders>
              <w:top w:val="single" w:sz="6" w:space="0" w:color="006699"/>
              <w:left w:val="nil"/>
              <w:bottom w:val="single" w:sz="6" w:space="0" w:color="006699"/>
              <w:right w:val="nil"/>
            </w:tcBorders>
            <w:shd w:val="clear" w:color="auto" w:fill="auto"/>
            <w:tcMar>
              <w:top w:w="49" w:type="dxa"/>
              <w:left w:w="142" w:type="dxa"/>
              <w:bottom w:w="49" w:type="dxa"/>
              <w:right w:w="101" w:type="dxa"/>
            </w:tcMar>
            <w:vAlign w:val="center"/>
            <w:hideMark/>
          </w:tcPr>
          <w:p w:rsidR="00AE3684" w:rsidRPr="00153F1A" w:rsidRDefault="00AE3684" w:rsidP="00845F0D">
            <w:pPr>
              <w:pStyle w:val="BodyText"/>
            </w:pPr>
            <w:r w:rsidRPr="00153F1A">
              <w:t>Difficulty in working or attending school/college</w:t>
            </w:r>
          </w:p>
        </w:tc>
        <w:tc>
          <w:tcPr>
            <w:tcW w:w="992" w:type="dxa"/>
            <w:tcBorders>
              <w:top w:val="single" w:sz="6" w:space="0" w:color="006699"/>
              <w:left w:val="nil"/>
              <w:bottom w:val="single" w:sz="6" w:space="0" w:color="006699"/>
              <w:right w:val="nil"/>
            </w:tcBorders>
            <w:shd w:val="clear" w:color="auto" w:fill="auto"/>
            <w:tcMar>
              <w:top w:w="49" w:type="dxa"/>
              <w:left w:w="101" w:type="dxa"/>
              <w:bottom w:w="49" w:type="dxa"/>
              <w:right w:w="97" w:type="dxa"/>
            </w:tcMar>
            <w:vAlign w:val="center"/>
            <w:hideMark/>
          </w:tcPr>
          <w:p w:rsidR="00AE3684" w:rsidRPr="00153F1A" w:rsidRDefault="00AE3684" w:rsidP="00845F0D">
            <w:pPr>
              <w:pStyle w:val="BodyText"/>
            </w:pPr>
            <w:r w:rsidRPr="00153F1A">
              <w:t>210,639</w:t>
            </w:r>
          </w:p>
        </w:tc>
      </w:tr>
      <w:tr w:rsidR="00845F0D" w:rsidRPr="00153F1A" w:rsidTr="00845F0D">
        <w:trPr>
          <w:trHeight w:val="558"/>
          <w:jc w:val="center"/>
        </w:trPr>
        <w:tc>
          <w:tcPr>
            <w:tcW w:w="3969" w:type="dxa"/>
            <w:tcBorders>
              <w:top w:val="single" w:sz="6" w:space="0" w:color="006699"/>
              <w:left w:val="nil"/>
              <w:bottom w:val="single" w:sz="6" w:space="0" w:color="006699"/>
              <w:right w:val="nil"/>
            </w:tcBorders>
            <w:shd w:val="clear" w:color="auto" w:fill="auto"/>
            <w:tcMar>
              <w:top w:w="49" w:type="dxa"/>
              <w:left w:w="142" w:type="dxa"/>
              <w:bottom w:w="49" w:type="dxa"/>
              <w:right w:w="101" w:type="dxa"/>
            </w:tcMar>
            <w:vAlign w:val="center"/>
            <w:hideMark/>
          </w:tcPr>
          <w:p w:rsidR="00AE3684" w:rsidRPr="00153F1A" w:rsidRDefault="00AE3684" w:rsidP="00845F0D">
            <w:pPr>
              <w:pStyle w:val="BodyText"/>
            </w:pPr>
            <w:r w:rsidRPr="00153F1A">
              <w:t>Difficulty in participating in other activities</w:t>
            </w:r>
          </w:p>
        </w:tc>
        <w:tc>
          <w:tcPr>
            <w:tcW w:w="992" w:type="dxa"/>
            <w:tcBorders>
              <w:top w:val="single" w:sz="6" w:space="0" w:color="006699"/>
              <w:left w:val="nil"/>
              <w:bottom w:val="single" w:sz="6" w:space="0" w:color="006699"/>
              <w:right w:val="nil"/>
            </w:tcBorders>
            <w:shd w:val="clear" w:color="auto" w:fill="auto"/>
            <w:tcMar>
              <w:top w:w="49" w:type="dxa"/>
              <w:left w:w="101" w:type="dxa"/>
              <w:bottom w:w="49" w:type="dxa"/>
              <w:right w:w="97" w:type="dxa"/>
            </w:tcMar>
            <w:vAlign w:val="center"/>
            <w:hideMark/>
          </w:tcPr>
          <w:p w:rsidR="00AE3684" w:rsidRPr="00153F1A" w:rsidRDefault="00AE3684" w:rsidP="00845F0D">
            <w:pPr>
              <w:pStyle w:val="BodyText"/>
            </w:pPr>
            <w:r w:rsidRPr="00153F1A">
              <w:t>229,397</w:t>
            </w:r>
          </w:p>
        </w:tc>
      </w:tr>
    </w:tbl>
    <w:p w:rsidR="006C52F6" w:rsidRDefault="006C52F6" w:rsidP="007E761E">
      <w:pPr>
        <w:rPr>
          <w:rFonts w:ascii="Times New Roman" w:hAnsi="Times New Roman" w:cs="Times New Roman"/>
          <w:color w:val="000000" w:themeColor="text1"/>
          <w:sz w:val="24"/>
          <w:szCs w:val="24"/>
        </w:rPr>
      </w:pPr>
    </w:p>
    <w:p w:rsidR="00AE3684" w:rsidRPr="008A7850" w:rsidRDefault="00AE3684" w:rsidP="007E761E">
      <w:r>
        <w:t xml:space="preserve">The </w:t>
      </w:r>
      <w:r w:rsidRPr="008A7850">
        <w:t xml:space="preserve">NCBI </w:t>
      </w:r>
      <w:r>
        <w:t xml:space="preserve">is the main association for the well-being and support of people who develop sight loss in Ireland. It </w:t>
      </w:r>
      <w:r w:rsidRPr="008A7850">
        <w:t>adheres to the United Nations’ Sustainable Development Goal 3</w:t>
      </w:r>
      <w:r>
        <w:t>, which e</w:t>
      </w:r>
      <w:r w:rsidRPr="008A7850">
        <w:t>nsure</w:t>
      </w:r>
      <w:r>
        <w:t>s</w:t>
      </w:r>
      <w:r w:rsidRPr="008A7850">
        <w:t xml:space="preserve"> healthy lives</w:t>
      </w:r>
      <w:r>
        <w:t xml:space="preserve"> for all people</w:t>
      </w:r>
      <w:r w:rsidRPr="008A7850">
        <w:t xml:space="preserve"> and </w:t>
      </w:r>
      <w:r>
        <w:t xml:space="preserve">aims to </w:t>
      </w:r>
      <w:r w:rsidRPr="008A7850">
        <w:t>promote</w:t>
      </w:r>
      <w:r>
        <w:t xml:space="preserve"> both physical and psychological</w:t>
      </w:r>
      <w:r w:rsidRPr="008A7850">
        <w:t xml:space="preserve"> well-being</w:t>
      </w:r>
      <w:r>
        <w:t xml:space="preserve"> for its clients. In addition, </w:t>
      </w:r>
      <w:r w:rsidRPr="008A7850">
        <w:t>NCBI is guided by the</w:t>
      </w:r>
      <w:r>
        <w:t xml:space="preserve"> Irish Government’s </w:t>
      </w:r>
      <w:r w:rsidRPr="008A7850">
        <w:t>2005 Disability Act</w:t>
      </w:r>
      <w:r>
        <w:t xml:space="preserve">, which promotes equality for all Irish people with disabilities and legislates against all forms of exclusion </w:t>
      </w:r>
      <w:r w:rsidRPr="008A7850">
        <w:t>in the social sphere</w:t>
      </w:r>
      <w:r>
        <w:t>.</w:t>
      </w:r>
    </w:p>
    <w:p w:rsidR="00AE3684" w:rsidRPr="00927112" w:rsidRDefault="00AE3684" w:rsidP="007E761E">
      <w:r>
        <w:t xml:space="preserve">Apart from services supporting education and supporting Irish people either entering employment or supporting people in long term employment, the </w:t>
      </w:r>
      <w:r w:rsidRPr="00342963">
        <w:t xml:space="preserve">NCBI’s </w:t>
      </w:r>
      <w:r>
        <w:t>c</w:t>
      </w:r>
      <w:r w:rsidRPr="00342963">
        <w:t xml:space="preserve">urrent </w:t>
      </w:r>
      <w:r>
        <w:t>s</w:t>
      </w:r>
      <w:r w:rsidRPr="00342963">
        <w:t>ervices</w:t>
      </w:r>
      <w:r>
        <w:t xml:space="preserve"> can be mapped to the needs of OA or SOA. Furthermore, the services that were found to be consistent with OAS mapped to the five elements of inclusive cap</w:t>
      </w:r>
      <w:r w:rsidRPr="00927112">
        <w:t>ital</w:t>
      </w:r>
      <w:r>
        <w:t>, with services relating to information and learning being particularly well represented. These services are</w:t>
      </w:r>
      <w:r w:rsidRPr="00927112">
        <w:t>:</w:t>
      </w:r>
    </w:p>
    <w:p w:rsidR="00AE3684" w:rsidRPr="002F3272" w:rsidRDefault="00AE3684" w:rsidP="001E0161">
      <w:pPr>
        <w:pStyle w:val="ListParagraph"/>
        <w:numPr>
          <w:ilvl w:val="0"/>
          <w:numId w:val="7"/>
        </w:numPr>
        <w:rPr>
          <w:bCs/>
        </w:rPr>
      </w:pPr>
      <w:r>
        <w:t>Bonding and networking: these services included providing emotional support, groups for others with sight loss and counselling mapped with the need of clients</w:t>
      </w:r>
    </w:p>
    <w:p w:rsidR="00AE3684" w:rsidRPr="00927112" w:rsidRDefault="00AE3684" w:rsidP="001E0161">
      <w:pPr>
        <w:pStyle w:val="ListParagraph"/>
        <w:numPr>
          <w:ilvl w:val="0"/>
          <w:numId w:val="7"/>
        </w:numPr>
      </w:pPr>
      <w:r>
        <w:t>Learning: these services included those related to raising awareness of the needs of people developing sight loss and conducting public education on low vision solutions mapped to l</w:t>
      </w:r>
      <w:r w:rsidRPr="00C307B3">
        <w:t>earning</w:t>
      </w:r>
      <w:r>
        <w:t xml:space="preserve"> – although it was noted that the low service take-up suggested there were other elements of this service that needed investigation</w:t>
      </w:r>
    </w:p>
    <w:p w:rsidR="00AE3684" w:rsidRPr="002F3272" w:rsidRDefault="00AE3684" w:rsidP="001E0161">
      <w:pPr>
        <w:pStyle w:val="ListParagraph"/>
        <w:numPr>
          <w:ilvl w:val="0"/>
          <w:numId w:val="7"/>
        </w:numPr>
        <w:rPr>
          <w:bCs/>
        </w:rPr>
      </w:pPr>
      <w:r>
        <w:t>I</w:t>
      </w:r>
      <w:r w:rsidRPr="00927112">
        <w:t>nformation</w:t>
      </w:r>
      <w:r>
        <w:t>: these services related to the provision of a</w:t>
      </w:r>
      <w:r w:rsidRPr="00B56C65">
        <w:t>dvice and information</w:t>
      </w:r>
      <w:r>
        <w:t>, the provision of accessible and a</w:t>
      </w:r>
      <w:r w:rsidRPr="00B56C65">
        <w:t>ssistive technolog</w:t>
      </w:r>
      <w:r>
        <w:t>ies, the NCBI’s l</w:t>
      </w:r>
      <w:r w:rsidRPr="00B56C65">
        <w:t xml:space="preserve">ibrary </w:t>
      </w:r>
      <w:r>
        <w:t>and a</w:t>
      </w:r>
      <w:r w:rsidRPr="00B56C65">
        <w:t>dvocacy</w:t>
      </w:r>
      <w:r>
        <w:t xml:space="preserve"> for those who need extra support</w:t>
      </w:r>
    </w:p>
    <w:p w:rsidR="00AE3684" w:rsidRPr="002F3272" w:rsidRDefault="00AE3684" w:rsidP="001E0161">
      <w:pPr>
        <w:pStyle w:val="ListParagraph"/>
        <w:numPr>
          <w:ilvl w:val="0"/>
          <w:numId w:val="7"/>
        </w:numPr>
        <w:rPr>
          <w:bCs/>
        </w:rPr>
      </w:pPr>
      <w:r w:rsidRPr="00927112">
        <w:lastRenderedPageBreak/>
        <w:t xml:space="preserve">Space &amp; </w:t>
      </w:r>
      <w:r>
        <w:t>p</w:t>
      </w:r>
      <w:r w:rsidRPr="00927112">
        <w:t>lace</w:t>
      </w:r>
      <w:r>
        <w:t>: These services were a</w:t>
      </w:r>
      <w:r w:rsidRPr="00F57F61">
        <w:t xml:space="preserve">ctivity </w:t>
      </w:r>
      <w:r>
        <w:t>c</w:t>
      </w:r>
      <w:r w:rsidRPr="00F57F61">
        <w:t>entres</w:t>
      </w:r>
      <w:r>
        <w:t xml:space="preserve"> run by the council and the NCBI shop in Dublin, p</w:t>
      </w:r>
      <w:r w:rsidRPr="00F57F61">
        <w:t>ractical solutions</w:t>
      </w:r>
      <w:r>
        <w:t xml:space="preserve">, where people not only bought </w:t>
      </w:r>
      <w:proofErr w:type="spellStart"/>
      <w:r>
        <w:t>specialised</w:t>
      </w:r>
      <w:proofErr w:type="spellEnd"/>
      <w:r>
        <w:t xml:space="preserve"> products but also got to meet others with sight loss and see a point of reference for the NCBI</w:t>
      </w:r>
    </w:p>
    <w:p w:rsidR="00AE3684" w:rsidRPr="00F57F61" w:rsidRDefault="00AE3684" w:rsidP="001E0161">
      <w:pPr>
        <w:pStyle w:val="ListParagraph"/>
        <w:numPr>
          <w:ilvl w:val="0"/>
          <w:numId w:val="7"/>
        </w:numPr>
      </w:pPr>
      <w:r w:rsidRPr="00927112">
        <w:t>Mobility</w:t>
      </w:r>
      <w:r>
        <w:t>: These services were related to r</w:t>
      </w:r>
      <w:r w:rsidRPr="00F57F61">
        <w:t xml:space="preserve">ehabilitation </w:t>
      </w:r>
      <w:r>
        <w:t xml:space="preserve">and mobility </w:t>
      </w:r>
      <w:r w:rsidRPr="00F57F61">
        <w:t>trainin</w:t>
      </w:r>
      <w:r>
        <w:t>g</w:t>
      </w:r>
    </w:p>
    <w:p w:rsidR="00AE3684" w:rsidRDefault="00AE3684" w:rsidP="007E761E">
      <w:r>
        <w:t>Although the NCBI provides broad categories of OAS already, CSO demographic data indicates that there is an increasing need for social and support services in Ireland, such as those provided by the NCBI. This could potentially present and extra stress on the current systems of providing OAS, when moving to a life-course model. For example, CSO observe the number of carers has increased 4.4 % in the period 2011-2016 – there are now more than 195,000 carers in Ireland, with 3,800 being under the age of 15, and 6,608,500 hours a week of caring being unpaid hours. This data is reflected in the infographic displayed in Figure 3.</w:t>
      </w:r>
      <w:r>
        <w:rPr>
          <w:rStyle w:val="FootnoteReference"/>
          <w:color w:val="000000" w:themeColor="text1"/>
          <w:sz w:val="24"/>
          <w:szCs w:val="24"/>
        </w:rPr>
        <w:footnoteReference w:id="14"/>
      </w:r>
      <w:r>
        <w:t xml:space="preserve"> The initial census data shows the number of people with at least one disability who were identified as being disabled in Ireland also increased since the last census in 2011 - in 2016, 13 ½ % of the population had a disability, a figure that was up approximately 8 % from 2011. </w:t>
      </w:r>
    </w:p>
    <w:p w:rsidR="00AE3684" w:rsidRDefault="00AE3684" w:rsidP="007E761E">
      <w:r>
        <w:t>Importantly, disability has significantly increased in childhood and adults over retirement age, with the biggest group of people with disabilities – working age adults – decreasing. This finding is partly reflected in the measurements of “good health” scores in the census, where people of working age were exponentially more likely to have very good health than people over retirement age. Importantly, people:</w:t>
      </w:r>
    </w:p>
    <w:p w:rsidR="00AE3684" w:rsidRDefault="00AE3684" w:rsidP="001E0161">
      <w:pPr>
        <w:pStyle w:val="ListParagraph"/>
        <w:numPr>
          <w:ilvl w:val="0"/>
          <w:numId w:val="6"/>
        </w:numPr>
      </w:pPr>
      <w:r w:rsidRPr="00CC212E">
        <w:t xml:space="preserve">of working age under the age of twenty </w:t>
      </w:r>
      <w:r>
        <w:t>were</w:t>
      </w:r>
      <w:r w:rsidRPr="00CC212E">
        <w:t xml:space="preserve"> significantly more than twice as likely to have very good health than those over the age of retirement (79 </w:t>
      </w:r>
      <w:r>
        <w:t>%</w:t>
      </w:r>
      <w:r w:rsidRPr="00CC212E">
        <w:t xml:space="preserve"> between 15-19 years versus 31.3 </w:t>
      </w:r>
      <w:r>
        <w:t>%</w:t>
      </w:r>
      <w:r w:rsidRPr="00CC212E">
        <w:t xml:space="preserve"> of people between 65-69 years)</w:t>
      </w:r>
    </w:p>
    <w:p w:rsidR="00AE3684" w:rsidRDefault="00AE3684" w:rsidP="001E0161">
      <w:pPr>
        <w:pStyle w:val="ListParagraph"/>
        <w:numPr>
          <w:ilvl w:val="0"/>
          <w:numId w:val="6"/>
        </w:numPr>
      </w:pPr>
      <w:r w:rsidRPr="00CC212E">
        <w:t xml:space="preserve">of working age from 40-44 years </w:t>
      </w:r>
      <w:r>
        <w:t>were</w:t>
      </w:r>
      <w:r w:rsidRPr="00CC212E">
        <w:t xml:space="preserve"> almost twice as likely as people just over the age of retirement to have </w:t>
      </w:r>
      <w:r>
        <w:t xml:space="preserve">very </w:t>
      </w:r>
      <w:r w:rsidRPr="00CC212E">
        <w:t xml:space="preserve">good </w:t>
      </w:r>
      <w:r w:rsidRPr="00CC212E">
        <w:t xml:space="preserve">health (58 </w:t>
      </w:r>
      <w:r>
        <w:t>%</w:t>
      </w:r>
      <w:r w:rsidRPr="00CC212E">
        <w:t xml:space="preserve"> of people from 40-44 years versus 31.3 </w:t>
      </w:r>
      <w:r>
        <w:t>%</w:t>
      </w:r>
      <w:r w:rsidRPr="00CC212E">
        <w:t xml:space="preserve"> of people from 65-69 years)</w:t>
      </w:r>
    </w:p>
    <w:p w:rsidR="007E761E" w:rsidRDefault="00AE3684" w:rsidP="001E0161">
      <w:pPr>
        <w:pStyle w:val="ListParagraph"/>
        <w:numPr>
          <w:ilvl w:val="0"/>
          <w:numId w:val="6"/>
        </w:numPr>
      </w:pPr>
      <w:r>
        <w:t>over the age of 85 were over eight times less likely to have very good health than people from 15-19 years (</w:t>
      </w:r>
      <w:r w:rsidRPr="00CC212E">
        <w:t xml:space="preserve">79 </w:t>
      </w:r>
      <w:r>
        <w:t>%</w:t>
      </w:r>
      <w:r w:rsidRPr="00CC212E">
        <w:t xml:space="preserve"> between 15-19 years versus</w:t>
      </w:r>
      <w:r>
        <w:t xml:space="preserve"> 9.6 % over the age of 85 years).</w:t>
      </w:r>
    </w:p>
    <w:p w:rsidR="00AE3684" w:rsidRPr="00B54748" w:rsidRDefault="00AE3684" w:rsidP="007E761E">
      <w:pPr>
        <w:pStyle w:val="Sub-head"/>
      </w:pPr>
      <w:r w:rsidRPr="00B54748">
        <w:t xml:space="preserve">Figure </w:t>
      </w:r>
      <w:r>
        <w:t>3</w:t>
      </w:r>
      <w:r w:rsidRPr="00B54748">
        <w:t>: Republic of Ireland Census – Infographic Showing a Broad Demographic Breakdown of All Disabilities in Irelan</w:t>
      </w:r>
      <w:r>
        <w:t>d: [verbal image] showing a large number of carers, an increase in disabled communities who are very young and very old and an increasing health problem amongst the older population.</w:t>
      </w:r>
    </w:p>
    <w:p w:rsidR="00AE3684" w:rsidRPr="00B54748" w:rsidRDefault="00AE3684" w:rsidP="0091088A">
      <w:pPr>
        <w:spacing w:line="480" w:lineRule="auto"/>
        <w:jc w:val="center"/>
        <w:rPr>
          <w:rFonts w:ascii="Times New Roman" w:hAnsi="Times New Roman" w:cs="Times New Roman"/>
          <w:color w:val="000000" w:themeColor="text1"/>
          <w:sz w:val="24"/>
          <w:szCs w:val="24"/>
        </w:rPr>
      </w:pPr>
      <w:r w:rsidRPr="00386D59">
        <w:rPr>
          <w:noProof/>
        </w:rPr>
        <w:drawing>
          <wp:inline distT="0" distB="0" distL="0" distR="0" wp14:anchorId="56D048E2" wp14:editId="0F88F8D2">
            <wp:extent cx="2969537" cy="1729375"/>
            <wp:effectExtent l="0" t="0" r="2540" b="0"/>
            <wp:docPr id="14" name="Picture 1" descr="showing a large number of carers, an increase in disabled communities who are very young and very old and an increasing health problem amongst the older population.">
              <a:extLst xmlns:a="http://schemas.openxmlformats.org/drawingml/2006/main">
                <a:ext uri="{FF2B5EF4-FFF2-40B4-BE49-F238E27FC236}">
                  <a16:creationId xmlns:a16="http://schemas.microsoft.com/office/drawing/2014/main" id="{9DE33922-D4DA-304E-B3E6-F5B5077B6DA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Picture 1" descr="page1image2904">
                      <a:extLst>
                        <a:ext uri="{FF2B5EF4-FFF2-40B4-BE49-F238E27FC236}">
                          <a16:creationId xmlns:a16="http://schemas.microsoft.com/office/drawing/2014/main" id="{9DE33922-D4DA-304E-B3E6-F5B5077B6DAA}"/>
                        </a:ext>
                      </a:extLst>
                    </pic:cNvPr>
                    <pic:cNvPicPr>
                      <a:picLocks noGrp="1" noChangeAspect="1" noChangeArrowheads="1"/>
                    </pic:cNvPicPr>
                  </pic:nvPicPr>
                  <pic:blipFill rotWithShape="1">
                    <a:blip r:embed="rId23" cstate="print">
                      <a:extLst>
                        <a:ext uri="{28A0092B-C50C-407E-A947-70E740481C1C}">
                          <a14:useLocalDpi xmlns:a14="http://schemas.microsoft.com/office/drawing/2010/main" val="0"/>
                        </a:ext>
                      </a:extLst>
                    </a:blip>
                    <a:srcRect t="149" b="141"/>
                    <a:stretch/>
                  </pic:blipFill>
                  <pic:spPr bwMode="auto">
                    <a:xfrm>
                      <a:off x="0" y="0"/>
                      <a:ext cx="2999619" cy="1746894"/>
                    </a:xfrm>
                    <a:prstGeom prst="rect">
                      <a:avLst/>
                    </a:prstGeom>
                    <a:noFill/>
                    <a:extLst/>
                  </pic:spPr>
                </pic:pic>
              </a:graphicData>
            </a:graphic>
          </wp:inline>
        </w:drawing>
      </w:r>
    </w:p>
    <w:p w:rsidR="00AE3684" w:rsidRDefault="00AE3684" w:rsidP="007E761E">
      <w:r>
        <w:t>Although there is not enough data to show why there is an increase in these figures, it is likely there is no single cause for the increased number of people with disabilities in Ireland. For example, the increase in disability among children is not reflected in the health outcomes of much younger people, whereas it is reflected in the rapidly deteriorating health of people over the age of retirement.</w:t>
      </w:r>
    </w:p>
    <w:p w:rsidR="0091088A" w:rsidRPr="0091088A" w:rsidRDefault="00AE3684" w:rsidP="0091088A">
      <w:r>
        <w:t xml:space="preserve">Furthermore, there is a mixed demographic picture of age-related impairment within the census data. For example, census data shows sight loss increases steadily throughout life course until just after the age of 80 years, and then decreases rapidly thereafter until around the age of 98. By contrast, psychological or emotional conditions peak between the ages of 10-14 years, and continues decreasing into adulthood with no significant discernible </w:t>
      </w:r>
      <w:r>
        <w:lastRenderedPageBreak/>
        <w:t>pattern.</w:t>
      </w:r>
      <w:r>
        <w:rPr>
          <w:rStyle w:val="FootnoteReference"/>
          <w:color w:val="000000" w:themeColor="text1"/>
          <w:sz w:val="24"/>
          <w:szCs w:val="24"/>
        </w:rPr>
        <w:footnoteReference w:id="15"/>
      </w:r>
      <w:r>
        <w:t xml:space="preserve"> These demographic trends are illustrated in Figures 4 and 5. However, as only 8.5 % of people with disabilities have sight loss and other physically disabled populations with much greater populations also increase in old age, there is an increased likelihood people will have more than one disability.</w:t>
      </w:r>
    </w:p>
    <w:p w:rsidR="00AE3684" w:rsidRPr="007E761E" w:rsidRDefault="00AE3684" w:rsidP="0091088A">
      <w:pPr>
        <w:pStyle w:val="Sub-head"/>
        <w:rPr>
          <w:rFonts w:ascii="Times New Roman" w:hAnsi="Times New Roman" w:cs="Times New Roman"/>
          <w:color w:val="000000" w:themeColor="text1"/>
          <w:sz w:val="24"/>
          <w:szCs w:val="24"/>
        </w:rPr>
      </w:pPr>
      <w:r w:rsidRPr="00EB41D7">
        <w:t xml:space="preserve">Figure </w:t>
      </w:r>
      <w:r>
        <w:t>4</w:t>
      </w:r>
      <w:r w:rsidRPr="00EB41D7">
        <w:t>: Line Diagram Representing the Population</w:t>
      </w:r>
      <w:r>
        <w:t>s</w:t>
      </w:r>
      <w:r w:rsidRPr="00EB41D7">
        <w:t xml:space="preserve"> of Disability by Age in Ireland, 2016</w:t>
      </w:r>
      <w:r>
        <w:t>: [verbal image] line diagram showing that sight loss increases rapidly with age alongside other physical impairments, whereas learning disabilities relatively decrease with age.</w:t>
      </w:r>
    </w:p>
    <w:p w:rsidR="007E761E" w:rsidRPr="00EB41D7" w:rsidRDefault="007E761E" w:rsidP="007E761E">
      <w:pPr>
        <w:pStyle w:val="Sub-head"/>
      </w:pPr>
    </w:p>
    <w:p w:rsidR="007E761E" w:rsidRDefault="00AE3684" w:rsidP="0091088A">
      <w:pPr>
        <w:spacing w:line="480" w:lineRule="auto"/>
        <w:jc w:val="center"/>
        <w:rPr>
          <w:rFonts w:ascii="Times New Roman" w:hAnsi="Times New Roman" w:cs="Times New Roman"/>
          <w:color w:val="000000" w:themeColor="text1"/>
          <w:sz w:val="24"/>
          <w:szCs w:val="24"/>
        </w:rPr>
      </w:pPr>
      <w:r w:rsidRPr="00153F1A">
        <w:rPr>
          <w:rFonts w:ascii="Times New Roman" w:hAnsi="Times New Roman" w:cs="Times New Roman"/>
          <w:noProof/>
          <w:color w:val="000000" w:themeColor="text1"/>
          <w:sz w:val="24"/>
          <w:szCs w:val="24"/>
        </w:rPr>
        <w:drawing>
          <wp:inline distT="0" distB="0" distL="0" distR="0" wp14:anchorId="14BE474A" wp14:editId="62C1A1CB">
            <wp:extent cx="2888056" cy="2413485"/>
            <wp:effectExtent l="0" t="0" r="0" b="0"/>
            <wp:docPr id="10" name="Picture Placeholder 10" descr="line diagram showing that sight loss increases rapidly with age alongside other physical impairments, whereas learning disabilities relatively decrease with age.">
              <a:extLst xmlns:a="http://schemas.openxmlformats.org/drawingml/2006/main">
                <a:ext uri="{FF2B5EF4-FFF2-40B4-BE49-F238E27FC236}">
                  <a16:creationId xmlns:a16="http://schemas.microsoft.com/office/drawing/2014/main" id="{7D6050DE-B42B-4143-B813-23C7701BCFB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Picture Placeholder 10">
                      <a:extLst>
                        <a:ext uri="{FF2B5EF4-FFF2-40B4-BE49-F238E27FC236}">
                          <a16:creationId xmlns:a16="http://schemas.microsoft.com/office/drawing/2014/main" id="{7D6050DE-B42B-4143-B813-23C7701BCFB2}"/>
                        </a:ext>
                      </a:extLst>
                    </pic:cNvPr>
                    <pic:cNvPicPr>
                      <a:picLocks noGrp="1" noChangeAspect="1"/>
                    </pic:cNvPicPr>
                  </pic:nvPicPr>
                  <pic:blipFill rotWithShape="1">
                    <a:blip r:embed="rId24"/>
                    <a:srcRect t="1535" b="-115"/>
                    <a:stretch/>
                  </pic:blipFill>
                  <pic:spPr>
                    <a:xfrm>
                      <a:off x="0" y="0"/>
                      <a:ext cx="2898519" cy="2422229"/>
                    </a:xfrm>
                    <a:prstGeom prst="rect">
                      <a:avLst/>
                    </a:prstGeom>
                  </pic:spPr>
                </pic:pic>
              </a:graphicData>
            </a:graphic>
          </wp:inline>
        </w:drawing>
      </w:r>
    </w:p>
    <w:p w:rsidR="0031165C" w:rsidRPr="00A44BA6" w:rsidRDefault="0031165C" w:rsidP="0031165C">
      <w:pPr>
        <w:pStyle w:val="LSEQuote"/>
      </w:pPr>
      <w:r w:rsidRPr="00A44BA6">
        <w:t>“</w:t>
      </w:r>
      <w:r w:rsidR="00952379" w:rsidRPr="00952379">
        <w:t>The NCBI is the main association for the well-being and support of people who develop sight loss in Ireland. It adheres to the United Nations’ Sustainable Development Goal 3</w:t>
      </w:r>
      <w:r w:rsidR="00952379">
        <w:t xml:space="preserve"> ..</w:t>
      </w:r>
      <w:r w:rsidRPr="00A44BA6">
        <w:t>.”</w:t>
      </w:r>
    </w:p>
    <w:p w:rsidR="006C52F6" w:rsidRDefault="006C52F6" w:rsidP="007E761E">
      <w:pPr>
        <w:pStyle w:val="Sub-head"/>
      </w:pPr>
    </w:p>
    <w:p w:rsidR="00AE3684" w:rsidRDefault="00AE3684" w:rsidP="007E761E">
      <w:pPr>
        <w:pStyle w:val="Sub-head"/>
      </w:pPr>
      <w:r w:rsidRPr="00EB41D7">
        <w:t xml:space="preserve">Figure </w:t>
      </w:r>
      <w:r>
        <w:t>5</w:t>
      </w:r>
      <w:r w:rsidRPr="00EB41D7">
        <w:t xml:space="preserve">: </w:t>
      </w:r>
      <w:r>
        <w:t xml:space="preserve">(a) Number of People with Sight Loss in Comparison to Other Disabilities: [verbal image] bar chart showing a relatively small number of people with sight loss compared to other impairments (b) </w:t>
      </w:r>
      <w:r w:rsidRPr="00EB41D7">
        <w:t xml:space="preserve">Number of </w:t>
      </w:r>
      <w:r>
        <w:t>OA and SOA</w:t>
      </w:r>
      <w:r w:rsidRPr="00EB41D7">
        <w:t xml:space="preserve"> </w:t>
      </w:r>
      <w:r>
        <w:t xml:space="preserve">with Sight Loss </w:t>
      </w:r>
      <w:r w:rsidRPr="00EB41D7">
        <w:t xml:space="preserve">by Number </w:t>
      </w:r>
      <w:r>
        <w:t>in</w:t>
      </w:r>
      <w:r w:rsidRPr="00EB41D7">
        <w:t xml:space="preserve"> Population</w:t>
      </w:r>
      <w:r>
        <w:t>, showing the increasing number of older people climbing with age until the years between 80-85, when the population rapidly decreases until the ages of 95-100 when the number grows again.</w:t>
      </w:r>
    </w:p>
    <w:p w:rsidR="007E761E" w:rsidRDefault="007E761E" w:rsidP="007E761E">
      <w:pPr>
        <w:rPr>
          <w:rFonts w:ascii="Times New Roman" w:hAnsi="Times New Roman" w:cs="Times New Roman"/>
          <w:b/>
          <w:color w:val="000000" w:themeColor="text1"/>
          <w:sz w:val="24"/>
          <w:szCs w:val="24"/>
        </w:rPr>
      </w:pPr>
    </w:p>
    <w:p w:rsidR="00AE3684" w:rsidRPr="00EB41D7" w:rsidRDefault="00AE3684" w:rsidP="00AE3684">
      <w:pPr>
        <w:spacing w:line="480" w:lineRule="auto"/>
        <w:jc w:val="center"/>
        <w:rPr>
          <w:rFonts w:ascii="Times New Roman" w:hAnsi="Times New Roman" w:cs="Times New Roman"/>
          <w:b/>
          <w:color w:val="000000" w:themeColor="text1"/>
          <w:sz w:val="24"/>
          <w:szCs w:val="24"/>
        </w:rPr>
      </w:pPr>
      <w:r w:rsidRPr="00230738">
        <w:rPr>
          <w:rFonts w:ascii="Times New Roman" w:hAnsi="Times New Roman" w:cs="Times New Roman"/>
          <w:noProof/>
          <w:color w:val="000000" w:themeColor="text1"/>
          <w:sz w:val="24"/>
          <w:szCs w:val="24"/>
        </w:rPr>
        <w:drawing>
          <wp:inline distT="0" distB="0" distL="0" distR="0" wp14:anchorId="3968E6A0" wp14:editId="086467F6">
            <wp:extent cx="2934182" cy="1956121"/>
            <wp:effectExtent l="0" t="0" r="0" b="0"/>
            <wp:docPr id="21" name="Picture Placeholder 4" descr="bar chart showing a relatively small number of people with sight loss compared to other impairments (b) Number of OA and SOA with Sight Loss by Number in Population, showing the increasing number of older people climbing with age until the years between 80-85, when the population rapidly decreases until the ages of 95-100 when the number grows again.">
              <a:extLst xmlns:a="http://schemas.openxmlformats.org/drawingml/2006/main">
                <a:ext uri="{FF2B5EF4-FFF2-40B4-BE49-F238E27FC236}">
                  <a16:creationId xmlns:a16="http://schemas.microsoft.com/office/drawing/2014/main" id="{F47C1599-A621-E14D-9442-F70556195AB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Picture Placeholder 4">
                      <a:extLst>
                        <a:ext uri="{FF2B5EF4-FFF2-40B4-BE49-F238E27FC236}">
                          <a16:creationId xmlns:a16="http://schemas.microsoft.com/office/drawing/2014/main" id="{F47C1599-A621-E14D-9442-F70556195ABC}"/>
                        </a:ext>
                      </a:extLst>
                    </pic:cNvPr>
                    <pic:cNvPicPr>
                      <a:picLocks noGrp="1" noChangeAspect="1"/>
                    </pic:cNvPicPr>
                  </pic:nvPicPr>
                  <pic:blipFill rotWithShape="1">
                    <a:blip r:embed="rId25">
                      <a:extLst>
                        <a:ext uri="{28A0092B-C50C-407E-A947-70E740481C1C}">
                          <a14:useLocalDpi xmlns:a14="http://schemas.microsoft.com/office/drawing/2010/main" val="0"/>
                        </a:ext>
                      </a:extLst>
                    </a:blip>
                    <a:stretch/>
                  </pic:blipFill>
                  <pic:spPr>
                    <a:xfrm>
                      <a:off x="0" y="0"/>
                      <a:ext cx="2959117" cy="1972744"/>
                    </a:xfrm>
                    <a:prstGeom prst="rect">
                      <a:avLst/>
                    </a:prstGeom>
                  </pic:spPr>
                </pic:pic>
              </a:graphicData>
            </a:graphic>
          </wp:inline>
        </w:drawing>
      </w:r>
    </w:p>
    <w:p w:rsidR="00AE3684" w:rsidRPr="0091088A" w:rsidRDefault="00AE3684" w:rsidP="0091088A">
      <w:pPr>
        <w:spacing w:line="480" w:lineRule="auto"/>
        <w:jc w:val="center"/>
        <w:rPr>
          <w:rFonts w:ascii="Times New Roman" w:hAnsi="Times New Roman" w:cs="Times New Roman"/>
          <w:color w:val="000000" w:themeColor="text1"/>
          <w:sz w:val="24"/>
          <w:szCs w:val="24"/>
        </w:rPr>
      </w:pPr>
      <w:r w:rsidRPr="00153F1A">
        <w:rPr>
          <w:rFonts w:ascii="Times New Roman" w:hAnsi="Times New Roman" w:cs="Times New Roman"/>
          <w:noProof/>
          <w:color w:val="000000" w:themeColor="text1"/>
          <w:sz w:val="24"/>
          <w:szCs w:val="24"/>
        </w:rPr>
        <w:drawing>
          <wp:inline distT="0" distB="0" distL="0" distR="0" wp14:anchorId="0EF5080F" wp14:editId="6942EA0F">
            <wp:extent cx="2934182" cy="1956121"/>
            <wp:effectExtent l="0" t="0" r="0" b="0"/>
            <wp:docPr id="5" name="Picture Placeholder 4" descr="bar chart showing a relatively small number of people with sight loss compared to other impairments (b) Number of OA and SOA with Sight Loss by Number in Population, showing the increasing number of older people climbing with age until the years between 80-85, when the population rapidly decreases until the ages of 95-100 when the number grows again.">
              <a:extLst xmlns:a="http://schemas.openxmlformats.org/drawingml/2006/main">
                <a:ext uri="{FF2B5EF4-FFF2-40B4-BE49-F238E27FC236}">
                  <a16:creationId xmlns:a16="http://schemas.microsoft.com/office/drawing/2014/main" id="{C1AC38E5-3D0A-684A-A594-A1694D2F3A0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C1AC38E5-3D0A-684A-A594-A1694D2F3A0D}"/>
                        </a:ext>
                      </a:extLst>
                    </pic:cNvPr>
                    <pic:cNvPicPr>
                      <a:picLocks noGrp="1" noChangeAspect="1"/>
                    </pic:cNvPicPr>
                  </pic:nvPicPr>
                  <pic:blipFill rotWithShape="1">
                    <a:blip r:embed="rId26"/>
                    <a:stretch/>
                  </pic:blipFill>
                  <pic:spPr>
                    <a:xfrm>
                      <a:off x="0" y="0"/>
                      <a:ext cx="2943068" cy="1962045"/>
                    </a:xfrm>
                    <a:prstGeom prst="rect">
                      <a:avLst/>
                    </a:prstGeom>
                  </pic:spPr>
                </pic:pic>
              </a:graphicData>
            </a:graphic>
          </wp:inline>
        </w:drawing>
      </w:r>
    </w:p>
    <w:p w:rsidR="00AE3684" w:rsidRDefault="00AE3684" w:rsidP="002F3272">
      <w:r>
        <w:t>Geographically, in 2016 t</w:t>
      </w:r>
      <w:r w:rsidRPr="003A6854">
        <w:t xml:space="preserve">here </w:t>
      </w:r>
      <w:r>
        <w:t xml:space="preserve">was a </w:t>
      </w:r>
      <w:r w:rsidRPr="003A6854">
        <w:t>larger concentration of OA</w:t>
      </w:r>
      <w:r>
        <w:t xml:space="preserve"> and SOA</w:t>
      </w:r>
      <w:r w:rsidRPr="003A6854">
        <w:t xml:space="preserve"> in the west of Ireland, particularly</w:t>
      </w:r>
      <w:r>
        <w:t xml:space="preserve"> </w:t>
      </w:r>
      <w:r w:rsidRPr="003A6854">
        <w:t>on the Atlantic coast</w:t>
      </w:r>
      <w:r>
        <w:t xml:space="preserve"> and some regions c</w:t>
      </w:r>
      <w:r w:rsidRPr="003A6854">
        <w:t xml:space="preserve">lose to the border with </w:t>
      </w:r>
      <w:r>
        <w:t xml:space="preserve">the </w:t>
      </w:r>
      <w:r w:rsidRPr="003A6854">
        <w:t>North</w:t>
      </w:r>
      <w:r>
        <w:t xml:space="preserve"> of</w:t>
      </w:r>
      <w:r w:rsidRPr="003A6854">
        <w:t xml:space="preserve"> Ireland</w:t>
      </w:r>
      <w:r>
        <w:t>. Notably, t</w:t>
      </w:r>
      <w:r w:rsidRPr="003A6854">
        <w:t xml:space="preserve">hese communities </w:t>
      </w:r>
      <w:r>
        <w:t>were</w:t>
      </w:r>
      <w:r w:rsidRPr="003A6854">
        <w:t xml:space="preserve"> more likely to be rural</w:t>
      </w:r>
      <w:r>
        <w:t xml:space="preserve"> than those areas that had lower concentrations of OA and SOA. In particular, and as illustrated in Figure 6, large</w:t>
      </w:r>
      <w:r w:rsidRPr="003A6854">
        <w:t xml:space="preserve"> urban areas</w:t>
      </w:r>
      <w:r>
        <w:t xml:space="preserve"> in Ireland</w:t>
      </w:r>
      <w:r w:rsidRPr="003A6854">
        <w:t xml:space="preserve">, such as Dublin, </w:t>
      </w:r>
      <w:r w:rsidRPr="003A6854">
        <w:lastRenderedPageBreak/>
        <w:t>Galway, Limerick and Cork</w:t>
      </w:r>
      <w:r>
        <w:t xml:space="preserve">, </w:t>
      </w:r>
      <w:r w:rsidRPr="003A6854">
        <w:t xml:space="preserve">appear to </w:t>
      </w:r>
      <w:r>
        <w:t>have</w:t>
      </w:r>
      <w:r w:rsidRPr="003A6854">
        <w:t xml:space="preserve"> dramatically younger</w:t>
      </w:r>
      <w:r>
        <w:t xml:space="preserve"> populations in their cities.</w:t>
      </w:r>
    </w:p>
    <w:p w:rsidR="0031165C" w:rsidRDefault="0031165C" w:rsidP="0031165C">
      <w:pPr>
        <w:pStyle w:val="LSEQuote"/>
      </w:pPr>
      <w:r w:rsidRPr="00A44BA6">
        <w:t>“</w:t>
      </w:r>
      <w:r w:rsidR="00952379" w:rsidRPr="00952379">
        <w:t>CSO graphs from the 2016 Irish census also appear to show a concentration of OA below the age of 81 located at home in rural areas in particular</w:t>
      </w:r>
      <w:r w:rsidRPr="00A44BA6">
        <w:t>.”</w:t>
      </w:r>
    </w:p>
    <w:p w:rsidR="007E761E" w:rsidRDefault="00AE3684" w:rsidP="007E761E">
      <w:r>
        <w:t>Given the increasing correlation between physical and sensory disability and old age</w:t>
      </w:r>
      <w:r w:rsidRPr="00EF4F93">
        <w:t>, there is a</w:t>
      </w:r>
      <w:r>
        <w:t>lso a</w:t>
      </w:r>
      <w:r w:rsidRPr="00EF4F93">
        <w:t xml:space="preserve"> </w:t>
      </w:r>
      <w:r>
        <w:t>discernible</w:t>
      </w:r>
      <w:r w:rsidRPr="00EF4F93">
        <w:t xml:space="preserve"> </w:t>
      </w:r>
      <w:r>
        <w:t>pattern of</w:t>
      </w:r>
      <w:r w:rsidRPr="00EF4F93">
        <w:t xml:space="preserve"> average age and </w:t>
      </w:r>
      <w:r>
        <w:t>people with disabilities being supported in their own home, with greater concentrations more likely to exist</w:t>
      </w:r>
      <w:r w:rsidRPr="00754DD1">
        <w:t xml:space="preserve"> </w:t>
      </w:r>
      <w:r w:rsidRPr="00EF4F93">
        <w:t xml:space="preserve">in rural communities towards the Atlantic coast and the border with </w:t>
      </w:r>
      <w:r>
        <w:t xml:space="preserve">the </w:t>
      </w:r>
      <w:r w:rsidRPr="00EF4F93">
        <w:t>North</w:t>
      </w:r>
      <w:r>
        <w:t xml:space="preserve"> of</w:t>
      </w:r>
      <w:r w:rsidRPr="00EF4F93">
        <w:t xml:space="preserve"> Ireland</w:t>
      </w:r>
      <w:r>
        <w:t>. These heat maps are featured in figures 6 and 7.</w:t>
      </w:r>
    </w:p>
    <w:p w:rsidR="007E761E" w:rsidRDefault="00AE3684" w:rsidP="007E761E">
      <w:pPr>
        <w:pStyle w:val="Sub-head"/>
      </w:pPr>
      <w:r w:rsidRPr="009B3028">
        <w:t xml:space="preserve">Figure </w:t>
      </w:r>
      <w:r>
        <w:t>6</w:t>
      </w:r>
      <w:r w:rsidRPr="009B3028">
        <w:t>: A Demographic Heat Map of Average Age Distribution in Ireland</w:t>
      </w:r>
      <w:r>
        <w:t>: [verbal image] the heat map shows a density of older people along the west coast or Ireland and to the south of the border with the North of Ireland.</w:t>
      </w:r>
    </w:p>
    <w:p w:rsidR="0091088A" w:rsidRPr="0091088A" w:rsidRDefault="0091088A" w:rsidP="007E761E">
      <w:pPr>
        <w:pStyle w:val="Sub-head"/>
      </w:pPr>
    </w:p>
    <w:p w:rsidR="0091088A" w:rsidRPr="006C52F6" w:rsidRDefault="00AE3684" w:rsidP="006C52F6">
      <w:pPr>
        <w:spacing w:line="480" w:lineRule="auto"/>
        <w:jc w:val="center"/>
        <w:rPr>
          <w:rFonts w:ascii="Times New Roman" w:hAnsi="Times New Roman" w:cs="Times New Roman"/>
          <w:color w:val="000000" w:themeColor="text1"/>
          <w:sz w:val="24"/>
          <w:szCs w:val="24"/>
        </w:rPr>
      </w:pPr>
      <w:r w:rsidRPr="00153F1A">
        <w:rPr>
          <w:rFonts w:ascii="Times New Roman" w:hAnsi="Times New Roman" w:cs="Times New Roman"/>
          <w:noProof/>
          <w:color w:val="000000" w:themeColor="text1"/>
          <w:sz w:val="24"/>
          <w:szCs w:val="24"/>
        </w:rPr>
        <w:drawing>
          <wp:inline distT="0" distB="0" distL="0" distR="0" wp14:anchorId="471A2DA5" wp14:editId="5255F7DE">
            <wp:extent cx="2833735" cy="2105576"/>
            <wp:effectExtent l="0" t="0" r="0" b="3175"/>
            <wp:docPr id="12" name="Picture Placeholder 4" descr="the heat map shows a density of older people along the west coast or Ireland and to the south of the border with the North of Ireland.">
              <a:extLst xmlns:a="http://schemas.openxmlformats.org/drawingml/2006/main">
                <a:ext uri="{FF2B5EF4-FFF2-40B4-BE49-F238E27FC236}">
                  <a16:creationId xmlns:a16="http://schemas.microsoft.com/office/drawing/2014/main" id="{5938E548-1E59-F84D-AF99-68E160A079A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Picture Placeholder 4">
                      <a:extLst>
                        <a:ext uri="{FF2B5EF4-FFF2-40B4-BE49-F238E27FC236}">
                          <a16:creationId xmlns:a16="http://schemas.microsoft.com/office/drawing/2014/main" id="{5938E548-1E59-F84D-AF99-68E160A079A4}"/>
                        </a:ext>
                      </a:extLst>
                    </pic:cNvPr>
                    <pic:cNvPicPr>
                      <a:picLocks noGrp="1" noChangeAspect="1"/>
                    </pic:cNvPicPr>
                  </pic:nvPicPr>
                  <pic:blipFill rotWithShape="1">
                    <a:blip r:embed="rId27"/>
                    <a:srcRect l="21483" t="5705" b="-1327"/>
                    <a:stretch/>
                  </pic:blipFill>
                  <pic:spPr>
                    <a:xfrm>
                      <a:off x="0" y="0"/>
                      <a:ext cx="2851405" cy="2118705"/>
                    </a:xfrm>
                    <a:prstGeom prst="rect">
                      <a:avLst/>
                    </a:prstGeom>
                  </pic:spPr>
                </pic:pic>
              </a:graphicData>
            </a:graphic>
          </wp:inline>
        </w:drawing>
      </w:r>
    </w:p>
    <w:p w:rsidR="0091088A" w:rsidRDefault="0091088A" w:rsidP="007E761E">
      <w:pPr>
        <w:pStyle w:val="Sub-head"/>
      </w:pPr>
    </w:p>
    <w:p w:rsidR="0091088A" w:rsidRDefault="0091088A" w:rsidP="007E761E">
      <w:pPr>
        <w:pStyle w:val="Sub-head"/>
      </w:pPr>
    </w:p>
    <w:p w:rsidR="001D2BE1" w:rsidRDefault="00AE3684" w:rsidP="007E761E">
      <w:pPr>
        <w:pStyle w:val="Sub-head"/>
      </w:pPr>
      <w:r w:rsidRPr="009B3028">
        <w:t xml:space="preserve">Figure </w:t>
      </w:r>
      <w:r>
        <w:t>7</w:t>
      </w:r>
      <w:r w:rsidRPr="009B3028">
        <w:t xml:space="preserve">: A Demographic Heat Map of </w:t>
      </w:r>
      <w:r>
        <w:t>Disability &amp; Carer</w:t>
      </w:r>
      <w:r w:rsidRPr="009B3028">
        <w:t xml:space="preserve"> Distribution in Ireland</w:t>
      </w:r>
      <w:r>
        <w:t>: [verbal image] the heat map shows a more mixed distribution of carers, however there is a particularly strong density along the north west coast.</w:t>
      </w:r>
    </w:p>
    <w:p w:rsidR="001D2BE1" w:rsidRPr="00121561" w:rsidRDefault="001D2BE1" w:rsidP="007E761E">
      <w:pPr>
        <w:pStyle w:val="Sub-head"/>
      </w:pPr>
    </w:p>
    <w:p w:rsidR="00AE3684" w:rsidRDefault="00AE3684" w:rsidP="0091088A">
      <w:pPr>
        <w:spacing w:line="480" w:lineRule="auto"/>
        <w:jc w:val="center"/>
        <w:rPr>
          <w:rFonts w:ascii="Times New Roman" w:hAnsi="Times New Roman" w:cs="Times New Roman"/>
          <w:color w:val="000000" w:themeColor="text1"/>
          <w:sz w:val="24"/>
          <w:szCs w:val="24"/>
        </w:rPr>
      </w:pPr>
      <w:r w:rsidRPr="000515C1">
        <w:rPr>
          <w:rFonts w:ascii="Times New Roman" w:hAnsi="Times New Roman" w:cs="Times New Roman"/>
          <w:noProof/>
          <w:color w:val="000000" w:themeColor="text1"/>
          <w:sz w:val="24"/>
          <w:szCs w:val="24"/>
        </w:rPr>
        <w:drawing>
          <wp:inline distT="0" distB="0" distL="0" distR="0" wp14:anchorId="4712F330" wp14:editId="3D0855B9">
            <wp:extent cx="2947998" cy="1896524"/>
            <wp:effectExtent l="0" t="0" r="0" b="0"/>
            <wp:docPr id="1" name="Picture Placeholder 4" descr="the heat map shows a more mixed distribution of carers, however there is a particularly strong density along the north west coast.">
              <a:extLst xmlns:a="http://schemas.openxmlformats.org/drawingml/2006/main">
                <a:ext uri="{FF2B5EF4-FFF2-40B4-BE49-F238E27FC236}">
                  <a16:creationId xmlns:a16="http://schemas.microsoft.com/office/drawing/2014/main" id="{446E9978-F505-1E4F-BB22-86982D544D1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446E9978-F505-1E4F-BB22-86982D544D13}"/>
                        </a:ext>
                      </a:extLst>
                    </pic:cNvPr>
                    <pic:cNvPicPr>
                      <a:picLocks noGrp="1" noChangeAspect="1"/>
                    </pic:cNvPicPr>
                  </pic:nvPicPr>
                  <pic:blipFill rotWithShape="1">
                    <a:blip r:embed="rId28"/>
                    <a:srcRect l="21483" t="5341"/>
                    <a:stretch/>
                  </pic:blipFill>
                  <pic:spPr>
                    <a:xfrm>
                      <a:off x="0" y="0"/>
                      <a:ext cx="2956625" cy="1902074"/>
                    </a:xfrm>
                    <a:prstGeom prst="rect">
                      <a:avLst/>
                    </a:prstGeom>
                  </pic:spPr>
                </pic:pic>
              </a:graphicData>
            </a:graphic>
          </wp:inline>
        </w:drawing>
      </w:r>
    </w:p>
    <w:p w:rsidR="00AE3684" w:rsidRDefault="00AE3684" w:rsidP="007E761E">
      <w:r>
        <w:t>CSO graphs from the 2016 Irish census also appear to show a c</w:t>
      </w:r>
      <w:r w:rsidRPr="003A6854">
        <w:t>oncentration</w:t>
      </w:r>
      <w:r>
        <w:t xml:space="preserve"> of OA</w:t>
      </w:r>
      <w:r w:rsidRPr="003A6854">
        <w:t xml:space="preserve"> below the age of 81 located at home</w:t>
      </w:r>
      <w:r>
        <w:t xml:space="preserve"> in rural areas in particular. However</w:t>
      </w:r>
      <w:r w:rsidRPr="003A6854">
        <w:t xml:space="preserve">, </w:t>
      </w:r>
      <w:r>
        <w:t xml:space="preserve">despite this concentration </w:t>
      </w:r>
      <w:r w:rsidRPr="003A6854">
        <w:t>there appears to be a</w:t>
      </w:r>
      <w:r>
        <w:t xml:space="preserve"> higher concentration of OA and S</w:t>
      </w:r>
      <w:r w:rsidRPr="003A6854">
        <w:t xml:space="preserve">OA </w:t>
      </w:r>
      <w:r>
        <w:t>in</w:t>
      </w:r>
      <w:r w:rsidRPr="003A6854">
        <w:t xml:space="preserve"> residen</w:t>
      </w:r>
      <w:r>
        <w:t>tial care homes in</w:t>
      </w:r>
      <w:r w:rsidRPr="003A6854">
        <w:t xml:space="preserve"> city communities</w:t>
      </w:r>
      <w:r>
        <w:t>, although the pattern of age groups moving into care homes seems significantly similar. In addition, there seems to be an exponential rise in SOA living in residential care homes.</w:t>
      </w:r>
      <w:r w:rsidRPr="00B51198">
        <w:t xml:space="preserve"> </w:t>
      </w:r>
      <w:r>
        <w:t>This is illustrated in Figure 8.</w:t>
      </w:r>
    </w:p>
    <w:p w:rsidR="0091088A" w:rsidRDefault="0091088A" w:rsidP="0091088A">
      <w:pPr>
        <w:rPr>
          <w:rFonts w:ascii="Times New Roman" w:hAnsi="Times New Roman" w:cs="Times New Roman"/>
          <w:color w:val="000000" w:themeColor="text1"/>
          <w:sz w:val="24"/>
          <w:szCs w:val="24"/>
        </w:rPr>
      </w:pPr>
    </w:p>
    <w:p w:rsidR="00AE3684" w:rsidRPr="0091088A" w:rsidRDefault="00AE3684" w:rsidP="0091088A">
      <w:pPr>
        <w:rPr>
          <w:rFonts w:ascii="Times New Roman" w:hAnsi="Times New Roman" w:cs="Times New Roman"/>
          <w:color w:val="000000" w:themeColor="text1"/>
          <w:sz w:val="24"/>
          <w:szCs w:val="24"/>
        </w:rPr>
      </w:pPr>
      <w:r w:rsidRPr="009B3028">
        <w:rPr>
          <w:b/>
        </w:rPr>
        <w:t xml:space="preserve">Figure </w:t>
      </w:r>
      <w:r>
        <w:rPr>
          <w:b/>
        </w:rPr>
        <w:t>8</w:t>
      </w:r>
      <w:r w:rsidRPr="009B3028">
        <w:rPr>
          <w:b/>
        </w:rPr>
        <w:t xml:space="preserve">: A </w:t>
      </w:r>
      <w:r>
        <w:rPr>
          <w:b/>
        </w:rPr>
        <w:t>Line Diagram Showing</w:t>
      </w:r>
      <w:r w:rsidRPr="009B3028">
        <w:rPr>
          <w:b/>
        </w:rPr>
        <w:t xml:space="preserve"> </w:t>
      </w:r>
      <w:r>
        <w:rPr>
          <w:b/>
        </w:rPr>
        <w:t xml:space="preserve">Numbers of People in Residential Care Homes </w:t>
      </w:r>
      <w:r w:rsidRPr="009B3028">
        <w:rPr>
          <w:b/>
        </w:rPr>
        <w:t>in Ireland</w:t>
      </w:r>
      <w:r>
        <w:rPr>
          <w:b/>
        </w:rPr>
        <w:t>: [verbal image] the line grows slowly but steadily from birth, but then grows exponentially after the age of 80 years of age.</w:t>
      </w:r>
    </w:p>
    <w:p w:rsidR="007E761E" w:rsidRPr="009B3028" w:rsidRDefault="007E761E" w:rsidP="007E761E">
      <w:pPr>
        <w:pStyle w:val="Sub-head"/>
      </w:pPr>
    </w:p>
    <w:p w:rsidR="00AE3684" w:rsidRDefault="00AE3684" w:rsidP="0091088A">
      <w:pPr>
        <w:spacing w:line="480" w:lineRule="auto"/>
        <w:jc w:val="center"/>
        <w:rPr>
          <w:rFonts w:ascii="Times New Roman" w:hAnsi="Times New Roman" w:cs="Times New Roman"/>
          <w:color w:val="000000" w:themeColor="text1"/>
          <w:sz w:val="24"/>
          <w:szCs w:val="24"/>
        </w:rPr>
      </w:pPr>
      <w:r w:rsidRPr="00230738">
        <w:rPr>
          <w:rFonts w:ascii="Times New Roman" w:hAnsi="Times New Roman" w:cs="Times New Roman"/>
          <w:noProof/>
          <w:color w:val="000000" w:themeColor="text1"/>
          <w:sz w:val="24"/>
          <w:szCs w:val="24"/>
        </w:rPr>
        <w:drawing>
          <wp:inline distT="0" distB="0" distL="0" distR="0" wp14:anchorId="03CD7985" wp14:editId="7CBB9896">
            <wp:extent cx="2734324" cy="1757780"/>
            <wp:effectExtent l="0" t="0" r="0" b="0"/>
            <wp:docPr id="6" name="Picture Placeholder 4" descr="the line grows slowly but steadily from birth, but then grows exponentially after the age of 80 years of age.">
              <a:extLst xmlns:a="http://schemas.openxmlformats.org/drawingml/2006/main">
                <a:ext uri="{FF2B5EF4-FFF2-40B4-BE49-F238E27FC236}">
                  <a16:creationId xmlns:a16="http://schemas.microsoft.com/office/drawing/2014/main" id="{0F1283E4-1F49-7840-ACFA-E2EA2D46451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F1283E4-1F49-7840-ACFA-E2EA2D46451B}"/>
                        </a:ext>
                      </a:extLst>
                    </pic:cNvPr>
                    <pic:cNvPicPr>
                      <a:picLocks noGrp="1" noChangeAspect="1"/>
                    </pic:cNvPicPr>
                  </pic:nvPicPr>
                  <pic:blipFill rotWithShape="1">
                    <a:blip r:embed="rId29"/>
                    <a:stretch/>
                  </pic:blipFill>
                  <pic:spPr>
                    <a:xfrm>
                      <a:off x="0" y="0"/>
                      <a:ext cx="2747318" cy="1766133"/>
                    </a:xfrm>
                    <a:prstGeom prst="rect">
                      <a:avLst/>
                    </a:prstGeom>
                  </pic:spPr>
                </pic:pic>
              </a:graphicData>
            </a:graphic>
          </wp:inline>
        </w:drawing>
      </w:r>
    </w:p>
    <w:p w:rsidR="00AE3684" w:rsidRDefault="00AE3684" w:rsidP="0091088A">
      <w:r>
        <w:lastRenderedPageBreak/>
        <w:t>The number of people living in residential care homes in cities could be explained by the greater number of care homes being located in large urban areas. However, it could also at least in part be explained by 2016 Irish Census heat map showing that single adults are concentrated in large urban areas, with the inference that people without spouses or children at home are more likely to be in residential care-homes. This concentration of single people is illustrated in Figure 9.</w:t>
      </w:r>
    </w:p>
    <w:p w:rsidR="00AE3684" w:rsidRDefault="00AE3684" w:rsidP="0091088A">
      <w:pPr>
        <w:pStyle w:val="Sub-head"/>
      </w:pPr>
      <w:r w:rsidRPr="009B3028">
        <w:t>Figure</w:t>
      </w:r>
      <w:r>
        <w:t xml:space="preserve"> 9</w:t>
      </w:r>
      <w:r w:rsidRPr="009B3028">
        <w:t xml:space="preserve">: A </w:t>
      </w:r>
      <w:r>
        <w:t>Demographic Heat Map</w:t>
      </w:r>
      <w:r w:rsidR="0091088A">
        <w:t xml:space="preserve"> </w:t>
      </w:r>
      <w:r>
        <w:t>Showing Concentration of</w:t>
      </w:r>
      <w:r w:rsidRPr="009B3028">
        <w:t xml:space="preserve"> </w:t>
      </w:r>
      <w:r>
        <w:t xml:space="preserve">Numbers of Single People: [verbal image] the heat map shows most of the country light, but stark, deep </w:t>
      </w:r>
      <w:proofErr w:type="spellStart"/>
      <w:r>
        <w:t>colours</w:t>
      </w:r>
      <w:proofErr w:type="spellEnd"/>
      <w:r>
        <w:t xml:space="preserve"> in the cities of Dublin, Cork, Galway, Limerick and Waterford.</w:t>
      </w:r>
    </w:p>
    <w:p w:rsidR="0091088A" w:rsidRPr="00286B3D" w:rsidRDefault="0091088A" w:rsidP="0091088A">
      <w:pPr>
        <w:pStyle w:val="Sub-head"/>
      </w:pPr>
    </w:p>
    <w:p w:rsidR="00AE3684" w:rsidRDefault="00AE3684" w:rsidP="0091088A">
      <w:pPr>
        <w:spacing w:line="480" w:lineRule="auto"/>
        <w:jc w:val="center"/>
        <w:rPr>
          <w:rFonts w:ascii="Times New Roman" w:hAnsi="Times New Roman" w:cs="Times New Roman"/>
          <w:color w:val="000000" w:themeColor="text1"/>
          <w:sz w:val="24"/>
          <w:szCs w:val="24"/>
        </w:rPr>
      </w:pPr>
      <w:r w:rsidRPr="00230738">
        <w:rPr>
          <w:rFonts w:ascii="Times New Roman" w:hAnsi="Times New Roman" w:cs="Times New Roman"/>
          <w:noProof/>
          <w:color w:val="000000" w:themeColor="text1"/>
          <w:sz w:val="24"/>
          <w:szCs w:val="24"/>
        </w:rPr>
        <w:drawing>
          <wp:inline distT="0" distB="0" distL="0" distR="0" wp14:anchorId="43D9B850" wp14:editId="1280BECA">
            <wp:extent cx="2789159" cy="1640805"/>
            <wp:effectExtent l="0" t="0" r="5080" b="0"/>
            <wp:docPr id="18" name="Picture Placeholder 4" descr="the heat map shows most of the country light, but stark, deep colours in the cities of Dublin, Cork, Galway, Limerick and Waterford.">
              <a:extLst xmlns:a="http://schemas.openxmlformats.org/drawingml/2006/main">
                <a:ext uri="{FF2B5EF4-FFF2-40B4-BE49-F238E27FC236}">
                  <a16:creationId xmlns:a16="http://schemas.microsoft.com/office/drawing/2014/main" id="{960E87BB-8FEC-0548-8E11-172E0A5E57C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960E87BB-8FEC-0548-8E11-172E0A5E57C3}"/>
                        </a:ext>
                      </a:extLst>
                    </pic:cNvPr>
                    <pic:cNvPicPr>
                      <a:picLocks noGrp="1" noChangeAspect="1"/>
                    </pic:cNvPicPr>
                  </pic:nvPicPr>
                  <pic:blipFill rotWithShape="1">
                    <a:blip r:embed="rId30" cstate="print">
                      <a:extLst>
                        <a:ext uri="{28A0092B-C50C-407E-A947-70E740481C1C}">
                          <a14:useLocalDpi xmlns:a14="http://schemas.microsoft.com/office/drawing/2010/main" val="0"/>
                        </a:ext>
                      </a:extLst>
                    </a:blip>
                    <a:stretch/>
                  </pic:blipFill>
                  <pic:spPr>
                    <a:xfrm>
                      <a:off x="0" y="0"/>
                      <a:ext cx="2801299" cy="1647947"/>
                    </a:xfrm>
                    <a:prstGeom prst="rect">
                      <a:avLst/>
                    </a:prstGeom>
                  </pic:spPr>
                </pic:pic>
              </a:graphicData>
            </a:graphic>
          </wp:inline>
        </w:drawing>
      </w:r>
    </w:p>
    <w:p w:rsidR="002F3272" w:rsidRDefault="00AE3684" w:rsidP="006C52F6">
      <w:r>
        <w:t>Access to private transportation also appears to be problematic for OA and particularly SOA in Ireland. A</w:t>
      </w:r>
      <w:r w:rsidRPr="003A6854">
        <w:t>lthough most</w:t>
      </w:r>
      <w:r>
        <w:t xml:space="preserve"> households with OA and SOA will have access to at least one car, with most other households having access to anything between 2–4 cars, there are also a significant number of households without private transportation – there is an assumption that households with carers may generally have access to a car. This issue is illustrated in Figure </w:t>
      </w:r>
      <w:r w:rsidR="002F3272">
        <w:t>10</w:t>
      </w:r>
      <w:r>
        <w:t>.</w:t>
      </w:r>
    </w:p>
    <w:p w:rsidR="006C52F6" w:rsidRDefault="006C52F6" w:rsidP="006C52F6"/>
    <w:p w:rsidR="006C52F6" w:rsidRDefault="006C52F6" w:rsidP="006C52F6"/>
    <w:p w:rsidR="006C52F6" w:rsidRDefault="006C52F6" w:rsidP="006C52F6"/>
    <w:p w:rsidR="00AE3684" w:rsidRDefault="00AE3684" w:rsidP="002F3272">
      <w:pPr>
        <w:pStyle w:val="Sub-head"/>
      </w:pPr>
      <w:r w:rsidRPr="009B3028">
        <w:t xml:space="preserve">Figure </w:t>
      </w:r>
      <w:r>
        <w:t>10</w:t>
      </w:r>
      <w:r w:rsidRPr="009B3028">
        <w:t xml:space="preserve">: A </w:t>
      </w:r>
      <w:r>
        <w:t>Line Diagram Showing</w:t>
      </w:r>
      <w:r w:rsidRPr="009B3028">
        <w:t xml:space="preserve"> </w:t>
      </w:r>
      <w:r>
        <w:t>Numbers of Cars by Age Group in Ireland: [verbal image] the line diagram shows the highest number of cars per household is one, with the next highest number not having a car and the numbers declining from two car onwards.</w:t>
      </w:r>
    </w:p>
    <w:p w:rsidR="001D2BE1" w:rsidRPr="009443DA" w:rsidRDefault="001D2BE1" w:rsidP="002F3272">
      <w:pPr>
        <w:pStyle w:val="Sub-head"/>
      </w:pPr>
    </w:p>
    <w:p w:rsidR="00AE3684" w:rsidRPr="003A6854" w:rsidRDefault="00AE3684" w:rsidP="002F3272">
      <w:pPr>
        <w:spacing w:line="480" w:lineRule="auto"/>
        <w:jc w:val="center"/>
        <w:rPr>
          <w:rFonts w:ascii="Times New Roman" w:hAnsi="Times New Roman" w:cs="Times New Roman"/>
          <w:color w:val="000000" w:themeColor="text1"/>
          <w:sz w:val="24"/>
          <w:szCs w:val="24"/>
        </w:rPr>
      </w:pPr>
      <w:r w:rsidRPr="00230738">
        <w:rPr>
          <w:rFonts w:ascii="Times New Roman" w:hAnsi="Times New Roman" w:cs="Times New Roman"/>
          <w:noProof/>
          <w:color w:val="000000" w:themeColor="text1"/>
          <w:sz w:val="24"/>
          <w:szCs w:val="24"/>
        </w:rPr>
        <w:drawing>
          <wp:inline distT="0" distB="0" distL="0" distR="0" wp14:anchorId="70240A2C" wp14:editId="31A71C11">
            <wp:extent cx="2832576" cy="1888384"/>
            <wp:effectExtent l="0" t="0" r="0" b="4445"/>
            <wp:docPr id="7" name="Picture Placeholder 4" descr="the line diagram shows the highest number of cars per household is one, with the next highest number not having a car and the numbers declining from two car onwards.">
              <a:extLst xmlns:a="http://schemas.openxmlformats.org/drawingml/2006/main">
                <a:ext uri="{FF2B5EF4-FFF2-40B4-BE49-F238E27FC236}">
                  <a16:creationId xmlns:a16="http://schemas.microsoft.com/office/drawing/2014/main" id="{094374FF-D924-E541-8630-2CA5EEAF0ED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94374FF-D924-E541-8630-2CA5EEAF0ED7}"/>
                        </a:ext>
                      </a:extLst>
                    </pic:cNvPr>
                    <pic:cNvPicPr>
                      <a:picLocks noGrp="1" noChangeAspect="1"/>
                    </pic:cNvPicPr>
                  </pic:nvPicPr>
                  <pic:blipFill rotWithShape="1">
                    <a:blip r:embed="rId31"/>
                    <a:stretch/>
                  </pic:blipFill>
                  <pic:spPr>
                    <a:xfrm>
                      <a:off x="0" y="0"/>
                      <a:ext cx="2854019" cy="1902679"/>
                    </a:xfrm>
                    <a:prstGeom prst="rect">
                      <a:avLst/>
                    </a:prstGeom>
                  </pic:spPr>
                </pic:pic>
              </a:graphicData>
            </a:graphic>
          </wp:inline>
        </w:drawing>
      </w:r>
    </w:p>
    <w:p w:rsidR="00AE3684" w:rsidRDefault="00AE3684" w:rsidP="002F3272">
      <w:r>
        <w:t>Despite a dearth of evidence on studies of the global population</w:t>
      </w:r>
      <w:r>
        <w:rPr>
          <w:rStyle w:val="FootnoteReference"/>
          <w:color w:val="000000" w:themeColor="text1"/>
          <w:sz w:val="24"/>
          <w:szCs w:val="24"/>
        </w:rPr>
        <w:footnoteReference w:id="16"/>
      </w:r>
      <w:r>
        <w:t>, influential systematic reviews find the i</w:t>
      </w:r>
      <w:r w:rsidRPr="003A6854">
        <w:t>nternational context</w:t>
      </w:r>
      <w:r>
        <w:t xml:space="preserve"> of disability and sight loss internationally is relatively similar to that of Ireland.</w:t>
      </w:r>
    </w:p>
    <w:p w:rsidR="00AE3684" w:rsidRDefault="00AE3684" w:rsidP="002F3272">
      <w:r>
        <w:t>For example, a study of the amount and nature of sight loss in h</w:t>
      </w:r>
      <w:r w:rsidRPr="003A6854">
        <w:t>igh-</w:t>
      </w:r>
      <w:r>
        <w:t>i</w:t>
      </w:r>
      <w:r w:rsidRPr="003A6854">
        <w:t xml:space="preserve">ncome </w:t>
      </w:r>
      <w:r>
        <w:t xml:space="preserve">countries in </w:t>
      </w:r>
      <w:r w:rsidRPr="003A6854">
        <w:t>Europe</w:t>
      </w:r>
      <w:r>
        <w:t xml:space="preserve"> from </w:t>
      </w:r>
      <w:r w:rsidRPr="003A6854">
        <w:t>1990-201</w:t>
      </w:r>
      <w:r>
        <w:t>0</w:t>
      </w:r>
      <w:r>
        <w:rPr>
          <w:rStyle w:val="FootnoteReference"/>
          <w:color w:val="000000" w:themeColor="text1"/>
          <w:sz w:val="24"/>
          <w:szCs w:val="24"/>
        </w:rPr>
        <w:footnoteReference w:id="17"/>
      </w:r>
      <w:r>
        <w:t xml:space="preserve">, shows </w:t>
      </w:r>
      <w:r w:rsidRPr="003A6854">
        <w:t>macular degeneration</w:t>
      </w:r>
      <w:r>
        <w:t>, a form of eye condition associated with OA and more particularly with SOA, is now the most significant form of sight loss. These figures also show a gendered element to this condition, with more women developing sight loss than men, reflecting the likelihood of more women surviving to older age than men.</w:t>
      </w:r>
    </w:p>
    <w:p w:rsidR="006C52F6" w:rsidRDefault="006C52F6">
      <w:pPr>
        <w:rPr>
          <w:rFonts w:ascii="Arial" w:eastAsiaTheme="minorHAnsi" w:hAnsi="Arial" w:cs="Arial"/>
          <w:i/>
          <w:color w:val="808080" w:themeColor="background1" w:themeShade="80"/>
          <w:spacing w:val="5"/>
          <w:sz w:val="26"/>
          <w:lang w:val="en-GB"/>
        </w:rPr>
      </w:pPr>
      <w:r>
        <w:br w:type="page"/>
      </w:r>
    </w:p>
    <w:p w:rsidR="0031165C" w:rsidRDefault="0031165C" w:rsidP="0031165C">
      <w:pPr>
        <w:pStyle w:val="LSEQuote"/>
      </w:pPr>
      <w:r w:rsidRPr="00A44BA6">
        <w:lastRenderedPageBreak/>
        <w:t>“</w:t>
      </w:r>
      <w:r w:rsidR="00952379" w:rsidRPr="00952379">
        <w:t>According to the 2016 Irish Census, all physical impairments and a large number of cognitive impairments are increasing due to old age, representing an increase from the previous census in 2011</w:t>
      </w:r>
      <w:r w:rsidRPr="00A44BA6">
        <w:t>.”</w:t>
      </w:r>
    </w:p>
    <w:p w:rsidR="00AE3684" w:rsidRPr="003A6854" w:rsidRDefault="00AE3684" w:rsidP="002F3272">
      <w:r>
        <w:t>Similarly, the global picture of sight loss also shows a strong growth in the OA and SOA population developing sight loss.</w:t>
      </w:r>
      <w:r>
        <w:rPr>
          <w:rStyle w:val="FootnoteReference"/>
          <w:color w:val="000000" w:themeColor="text1"/>
          <w:sz w:val="24"/>
          <w:szCs w:val="24"/>
        </w:rPr>
        <w:footnoteReference w:id="18"/>
      </w:r>
      <w:r>
        <w:t xml:space="preserve"> </w:t>
      </w:r>
      <w:r w:rsidRPr="003A6854">
        <w:t>Current</w:t>
      </w:r>
      <w:r>
        <w:t>ly, of the more than 1,000,000,000</w:t>
      </w:r>
      <w:r w:rsidRPr="003A6854">
        <w:t xml:space="preserve"> </w:t>
      </w:r>
      <w:r>
        <w:t xml:space="preserve">people over </w:t>
      </w:r>
      <w:r w:rsidRPr="003A6854">
        <w:t xml:space="preserve">35 years affected by </w:t>
      </w:r>
      <w:r>
        <w:t>“</w:t>
      </w:r>
      <w:r w:rsidRPr="003A6854">
        <w:t>near</w:t>
      </w:r>
      <w:r>
        <w:t>”</w:t>
      </w:r>
      <w:r w:rsidRPr="003A6854">
        <w:t xml:space="preserve"> </w:t>
      </w:r>
      <w:r>
        <w:t xml:space="preserve">sight loss, </w:t>
      </w:r>
      <w:r w:rsidRPr="003A6854">
        <w:t>668</w:t>
      </w:r>
      <w:r>
        <w:t xml:space="preserve">,000,000 people are over </w:t>
      </w:r>
      <w:r w:rsidRPr="003A6854">
        <w:t>50 years</w:t>
      </w:r>
      <w:r>
        <w:t xml:space="preserve">. Figures for blindness are also increasing, with it estimated that this population will increase to </w:t>
      </w:r>
      <w:r w:rsidRPr="003A6854">
        <w:t>38</w:t>
      </w:r>
      <w:r>
        <w:t>,500,000</w:t>
      </w:r>
      <w:r w:rsidRPr="003A6854">
        <w:t xml:space="preserve"> </w:t>
      </w:r>
      <w:r>
        <w:t>by</w:t>
      </w:r>
      <w:r w:rsidRPr="003A6854">
        <w:t xml:space="preserve"> 2020</w:t>
      </w:r>
      <w:r>
        <w:t xml:space="preserve">, and reach </w:t>
      </w:r>
      <w:r w:rsidRPr="003A6854">
        <w:t>115</w:t>
      </w:r>
      <w:r>
        <w:t>,000,000 by</w:t>
      </w:r>
      <w:r w:rsidRPr="003A6854">
        <w:t xml:space="preserve"> 2050</w:t>
      </w:r>
      <w:r>
        <w:t>. This po</w:t>
      </w:r>
      <w:r w:rsidRPr="003A6854">
        <w:t>pulation growth</w:t>
      </w:r>
      <w:r>
        <w:t xml:space="preserve"> also shows little sign of diminishing, as</w:t>
      </w:r>
      <w:r w:rsidRPr="003A6854">
        <w:t xml:space="preserve"> ageing </w:t>
      </w:r>
      <w:r>
        <w:t xml:space="preserve">is </w:t>
      </w:r>
      <w:r w:rsidRPr="003A6854">
        <w:t xml:space="preserve">estimated to triple </w:t>
      </w:r>
      <w:r>
        <w:t>OA and SOA overall in the long term.</w:t>
      </w:r>
    </w:p>
    <w:p w:rsidR="00AE3684" w:rsidRPr="00345BEF" w:rsidRDefault="006C52F6" w:rsidP="002F3272">
      <w:pPr>
        <w:pStyle w:val="Sub-head"/>
      </w:pPr>
      <w:r>
        <w:t>4</w:t>
      </w:r>
      <w:r w:rsidR="002F3272">
        <w:t>.2</w:t>
      </w:r>
      <w:r w:rsidR="00AE3684" w:rsidRPr="00345BEF">
        <w:t xml:space="preserve"> Discussion</w:t>
      </w:r>
    </w:p>
    <w:p w:rsidR="00AE3684" w:rsidRPr="003A6854" w:rsidRDefault="00AE3684" w:rsidP="002F3272">
      <w:r w:rsidRPr="003A6854">
        <w:t>According to the 2016 Irish Census, all physical impairments and a large number of cognitive impairments are increasing due to old ag</w:t>
      </w:r>
      <w:r>
        <w:t>e,</w:t>
      </w:r>
      <w:r w:rsidRPr="003A6854">
        <w:t xml:space="preserve"> represent</w:t>
      </w:r>
      <w:r>
        <w:t>ing</w:t>
      </w:r>
      <w:r w:rsidRPr="003A6854">
        <w:t xml:space="preserve"> an increase from</w:t>
      </w:r>
      <w:r>
        <w:t xml:space="preserve"> the previous census in</w:t>
      </w:r>
      <w:r w:rsidRPr="003A6854">
        <w:t xml:space="preserve"> 2011</w:t>
      </w:r>
      <w:r>
        <w:t>. In particular, h</w:t>
      </w:r>
      <w:r w:rsidRPr="003A6854">
        <w:t xml:space="preserve">eat maps </w:t>
      </w:r>
      <w:r>
        <w:t>of</w:t>
      </w:r>
      <w:r w:rsidRPr="003A6854">
        <w:t xml:space="preserve"> average age and disability show a strong graphical correlation between disability and ag</w:t>
      </w:r>
      <w:r>
        <w:t>ing. Similarly, t</w:t>
      </w:r>
      <w:r w:rsidRPr="003A6854">
        <w:t xml:space="preserve">he number of </w:t>
      </w:r>
      <w:r>
        <w:t>older adults</w:t>
      </w:r>
      <w:r w:rsidRPr="003A6854">
        <w:t xml:space="preserve"> is increasing greatly, as a greater number of people are surviving </w:t>
      </w:r>
      <w:r>
        <w:t>to</w:t>
      </w:r>
      <w:r w:rsidRPr="003A6854">
        <w:t xml:space="preserve"> old age – i.e. the age lived to </w:t>
      </w:r>
      <w:r>
        <w:t xml:space="preserve">is increasing significantly. </w:t>
      </w:r>
      <w:r w:rsidRPr="003A6854">
        <w:t>This is</w:t>
      </w:r>
      <w:r>
        <w:t xml:space="preserve"> not just an Irish issue, but one experienced by many jurisdictions, particularly those in the developed world.</w:t>
      </w:r>
    </w:p>
    <w:p w:rsidR="00AE3684" w:rsidRDefault="00AE3684" w:rsidP="002F3272">
      <w:r w:rsidRPr="003A6854">
        <w:t xml:space="preserve">However, it is likely that </w:t>
      </w:r>
      <w:r>
        <w:t>older adults</w:t>
      </w:r>
      <w:r w:rsidRPr="003A6854">
        <w:t xml:space="preserve"> will not only identify </w:t>
      </w:r>
      <w:r>
        <w:t>sight loss</w:t>
      </w:r>
      <w:r w:rsidRPr="003A6854">
        <w:t xml:space="preserve"> as their only or most significant impairment</w:t>
      </w:r>
      <w:r>
        <w:t xml:space="preserve">, as there are larger populations of people with disabilities whose communities are also increasing – e.g. deafness and people with mobility issues. This also suggests there is an increasing </w:t>
      </w:r>
      <w:r>
        <w:t xml:space="preserve">population of OA and SOA who </w:t>
      </w:r>
      <w:r w:rsidRPr="003A6854">
        <w:t>are more likely to find it difficult to conduct daily tasks or leave their homes</w:t>
      </w:r>
      <w:r>
        <w:t>.</w:t>
      </w:r>
    </w:p>
    <w:p w:rsidR="00AE3684" w:rsidRPr="003A6854" w:rsidRDefault="00AE3684" w:rsidP="002F3272">
      <w:r>
        <w:t>The growing SOA population is also becoming a significant issue in the provision of OAS, with t</w:t>
      </w:r>
      <w:r w:rsidRPr="003A6854">
        <w:t xml:space="preserve">he likelihood of becoming disabled – including </w:t>
      </w:r>
      <w:r>
        <w:t>sight loss</w:t>
      </w:r>
      <w:r w:rsidRPr="003A6854">
        <w:t xml:space="preserve"> </w:t>
      </w:r>
      <w:r>
        <w:t>and</w:t>
      </w:r>
      <w:r w:rsidRPr="003A6854">
        <w:t xml:space="preserve"> dual or multiple disabilities – </w:t>
      </w:r>
      <w:r>
        <w:t>rising</w:t>
      </w:r>
      <w:r w:rsidRPr="003A6854">
        <w:t xml:space="preserve"> exponentially after the age of 80</w:t>
      </w:r>
      <w:r>
        <w:t xml:space="preserve"> years. Significantly, t</w:t>
      </w:r>
      <w:r w:rsidRPr="003A6854">
        <w:t xml:space="preserve">he same heat maps </w:t>
      </w:r>
      <w:r>
        <w:t>showing</w:t>
      </w:r>
      <w:r w:rsidRPr="003A6854">
        <w:t xml:space="preserve"> a strong correlation between average age and disability, also show</w:t>
      </w:r>
      <w:r>
        <w:t xml:space="preserve"> </w:t>
      </w:r>
      <w:r w:rsidRPr="003A6854">
        <w:t>proportionately more disability</w:t>
      </w:r>
      <w:r>
        <w:t xml:space="preserve">, </w:t>
      </w:r>
      <w:r w:rsidRPr="003A6854">
        <w:t xml:space="preserve">a dramatically higher average age and instances of disability </w:t>
      </w:r>
      <w:r>
        <w:t>outside the main urban</w:t>
      </w:r>
      <w:r w:rsidRPr="003A6854">
        <w:t xml:space="preserve"> areas</w:t>
      </w:r>
      <w:r>
        <w:t xml:space="preserve"> of Ireland, where there are fewer hospitals and communal facilities – i.e. t</w:t>
      </w:r>
      <w:r w:rsidRPr="003A6854">
        <w:t>here are high concentrations of older and more disabled people along most of the West Coast of Ireland, and close to the border</w:t>
      </w:r>
      <w:r>
        <w:t xml:space="preserve">. </w:t>
      </w:r>
    </w:p>
    <w:p w:rsidR="00AE3684" w:rsidRDefault="00AE3684" w:rsidP="002F3272">
      <w:r>
        <w:t>Graphing of the Irish Census also shows a</w:t>
      </w:r>
      <w:r w:rsidRPr="003A6854">
        <w:t xml:space="preserve">ccess to unpaid carers is non-linear – i.e. there is no discernible pattern of </w:t>
      </w:r>
      <w:r>
        <w:t xml:space="preserve">proving </w:t>
      </w:r>
      <w:r w:rsidRPr="003A6854">
        <w:t>support</w:t>
      </w:r>
      <w:r>
        <w:t xml:space="preserve"> for people with disabilities as a whole, OA or SOA.</w:t>
      </w:r>
      <w:r w:rsidRPr="003A6854">
        <w:t xml:space="preserve"> </w:t>
      </w:r>
      <w:r>
        <w:t>H</w:t>
      </w:r>
      <w:r w:rsidRPr="003A6854">
        <w:t>owever,</w:t>
      </w:r>
      <w:r>
        <w:t xml:space="preserve"> there are</w:t>
      </w:r>
      <w:r w:rsidRPr="003A6854">
        <w:t xml:space="preserve"> factors that may have an effect on </w:t>
      </w:r>
      <w:r>
        <w:t>service provision for OA and SOA that have no significant evidence to support them as of yet.</w:t>
      </w:r>
    </w:p>
    <w:p w:rsidR="00AE3684" w:rsidRDefault="00AE3684" w:rsidP="002F3272">
      <w:r>
        <w:t xml:space="preserve">For example, census data suggests that as </w:t>
      </w:r>
      <w:r w:rsidRPr="00BE7495">
        <w:t>carers are more likely to only support people with disabilities for less than 14 hours per week</w:t>
      </w:r>
      <w:r>
        <w:t>,</w:t>
      </w:r>
      <w:r w:rsidRPr="00BE7495">
        <w:t xml:space="preserve"> or care for people over 43 hours per week</w:t>
      </w:r>
      <w:r>
        <w:t>, i</w:t>
      </w:r>
      <w:r w:rsidRPr="00BE7495">
        <w:t>t is assumed that unpaid carers working more than 43 hours per week live with the “caree</w:t>
      </w:r>
      <w:r>
        <w:t>.</w:t>
      </w:r>
      <w:r w:rsidRPr="00BE7495">
        <w:t xml:space="preserve">” </w:t>
      </w:r>
      <w:r>
        <w:t>Furthermore, as these carers live-in, it is assumed they</w:t>
      </w:r>
      <w:r w:rsidRPr="00BE7495">
        <w:t xml:space="preserve"> are more likely to be relatives</w:t>
      </w:r>
      <w:r>
        <w:t xml:space="preserve"> of the person they support.</w:t>
      </w:r>
    </w:p>
    <w:p w:rsidR="00AE3684" w:rsidRPr="003A6854" w:rsidRDefault="00AE3684" w:rsidP="002F3272">
      <w:r>
        <w:t>T</w:t>
      </w:r>
      <w:r w:rsidRPr="00BE7495">
        <w:t>his assumption about live-in carers is supported by a strong inverse correlation between single people being largely located in city centres and the increased likelihood of being a person with a live-in carer</w:t>
      </w:r>
      <w:r>
        <w:t xml:space="preserve">, such as a spouse. Therefore, there is an indication that </w:t>
      </w:r>
      <w:r w:rsidRPr="00BE7495">
        <w:t xml:space="preserve">there is </w:t>
      </w:r>
      <w:r>
        <w:t>proportionately</w:t>
      </w:r>
      <w:r w:rsidRPr="00BE7495">
        <w:t xml:space="preserve"> more</w:t>
      </w:r>
      <w:r>
        <w:t xml:space="preserve"> need for OAS, especially for SOA</w:t>
      </w:r>
      <w:r w:rsidRPr="00BE7495">
        <w:t xml:space="preserve"> in rural areas, particularly </w:t>
      </w:r>
      <w:r>
        <w:t xml:space="preserve">western </w:t>
      </w:r>
      <w:r w:rsidRPr="00BE7495">
        <w:t xml:space="preserve">coastal </w:t>
      </w:r>
      <w:r>
        <w:t xml:space="preserve">and border areas and those with </w:t>
      </w:r>
      <w:r w:rsidRPr="003A6854">
        <w:t xml:space="preserve">low or no car ownership </w:t>
      </w:r>
      <w:r>
        <w:t>– although data correlating these different factors is as of yet unavailable or unreported, and so this can only remain an inference.</w:t>
      </w:r>
    </w:p>
    <w:p w:rsidR="00AE3684" w:rsidRDefault="00AE3684" w:rsidP="002F3272">
      <w:r>
        <w:t xml:space="preserve">From this research, the following issues </w:t>
      </w:r>
      <w:r>
        <w:lastRenderedPageBreak/>
        <w:t>considered in the second phase were:</w:t>
      </w:r>
    </w:p>
    <w:p w:rsidR="00AE3684" w:rsidRDefault="00AE3684" w:rsidP="00523CEB">
      <w:pPr>
        <w:pStyle w:val="ListParagraph"/>
        <w:numPr>
          <w:ilvl w:val="0"/>
          <w:numId w:val="14"/>
        </w:numPr>
      </w:pPr>
      <w:r>
        <w:t>the need for different OAS for OA and SOA</w:t>
      </w:r>
    </w:p>
    <w:p w:rsidR="00AE3684" w:rsidRDefault="00AE3684" w:rsidP="00523CEB">
      <w:pPr>
        <w:pStyle w:val="ListParagraph"/>
        <w:numPr>
          <w:ilvl w:val="0"/>
          <w:numId w:val="14"/>
        </w:numPr>
      </w:pPr>
      <w:r>
        <w:t>t</w:t>
      </w:r>
      <w:r w:rsidRPr="003176BF">
        <w:t xml:space="preserve">he different needs of </w:t>
      </w:r>
      <w:r>
        <w:t>OA and SOA</w:t>
      </w:r>
      <w:r w:rsidRPr="003176BF">
        <w:t xml:space="preserve"> in rural and urban populations</w:t>
      </w:r>
    </w:p>
    <w:p w:rsidR="00AE3684" w:rsidRDefault="00AE3684" w:rsidP="00523CEB">
      <w:pPr>
        <w:pStyle w:val="ListParagraph"/>
        <w:numPr>
          <w:ilvl w:val="0"/>
          <w:numId w:val="14"/>
        </w:numPr>
      </w:pPr>
      <w:r>
        <w:t>OA and SOA</w:t>
      </w:r>
      <w:r w:rsidRPr="003176BF">
        <w:t xml:space="preserve"> who live alone, people who live with carers and people who live in residential accommodation</w:t>
      </w:r>
    </w:p>
    <w:p w:rsidR="00AE3684" w:rsidRDefault="00AE3684" w:rsidP="00523CEB">
      <w:pPr>
        <w:pStyle w:val="ListParagraph"/>
        <w:numPr>
          <w:ilvl w:val="0"/>
          <w:numId w:val="14"/>
        </w:numPr>
      </w:pPr>
      <w:r>
        <w:t xml:space="preserve">OA and SOA </w:t>
      </w:r>
      <w:r w:rsidRPr="003A6854">
        <w:t xml:space="preserve">who </w:t>
      </w:r>
      <w:r>
        <w:t>develop a sight loss</w:t>
      </w:r>
      <w:r w:rsidRPr="003A6854">
        <w:t xml:space="preserve"> </w:t>
      </w:r>
      <w:r>
        <w:t>versus those with</w:t>
      </w:r>
      <w:r w:rsidRPr="003A6854">
        <w:t xml:space="preserve"> dual disabiliti</w:t>
      </w:r>
      <w:r>
        <w:t>es</w:t>
      </w:r>
    </w:p>
    <w:p w:rsidR="00AE3684" w:rsidRDefault="00AE3684" w:rsidP="00AE3684">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AE3684" w:rsidRDefault="006C52F6" w:rsidP="002F3272">
      <w:pPr>
        <w:pStyle w:val="Heading"/>
      </w:pPr>
      <w:r>
        <w:lastRenderedPageBreak/>
        <w:t>5</w:t>
      </w:r>
      <w:r w:rsidR="002F3272">
        <w:t xml:space="preserve"> </w:t>
      </w:r>
      <w:proofErr w:type="spellStart"/>
      <w:r w:rsidR="002F3272">
        <w:t>Analyis</w:t>
      </w:r>
      <w:proofErr w:type="spellEnd"/>
      <w:r w:rsidR="002F3272">
        <w:t xml:space="preserve"> of the</w:t>
      </w:r>
      <w:r w:rsidR="00AE3684" w:rsidRPr="00226AF8">
        <w:t xml:space="preserve"> Second Phase</w:t>
      </w:r>
    </w:p>
    <w:p w:rsidR="002F3272" w:rsidRPr="00226AF8" w:rsidRDefault="006C52F6" w:rsidP="002F3272">
      <w:pPr>
        <w:pStyle w:val="Sub-head"/>
      </w:pPr>
      <w:r>
        <w:t>5</w:t>
      </w:r>
      <w:r w:rsidR="002F3272">
        <w:t>.1 Initial observations</w:t>
      </w:r>
    </w:p>
    <w:p w:rsidR="00AE3684" w:rsidRPr="00226AF8" w:rsidRDefault="00AE3684" w:rsidP="002F3272">
      <w:r w:rsidRPr="00226AF8">
        <w:t xml:space="preserve">What follows is a review of the </w:t>
      </w:r>
      <w:r>
        <w:t>jurisdictions</w:t>
      </w:r>
      <w:r w:rsidRPr="00226AF8">
        <w:t>, associations and services relating to inclusive capital:</w:t>
      </w:r>
    </w:p>
    <w:p w:rsidR="00AE3684" w:rsidRPr="00226AF8" w:rsidRDefault="00AE3684" w:rsidP="001E0161">
      <w:pPr>
        <w:pStyle w:val="ListParagraph"/>
        <w:numPr>
          <w:ilvl w:val="0"/>
          <w:numId w:val="8"/>
        </w:numPr>
      </w:pPr>
      <w:r w:rsidRPr="002F3272">
        <w:rPr>
          <w:b/>
        </w:rPr>
        <w:t>Denmark</w:t>
      </w:r>
      <w:r w:rsidRPr="00226AF8">
        <w:t xml:space="preserve"> has a population of over 5,750,000, and their main association is the Danish Association of the Blind — Dansk </w:t>
      </w:r>
      <w:proofErr w:type="spellStart"/>
      <w:r w:rsidRPr="00226AF8">
        <w:t>Blindesamfund</w:t>
      </w:r>
      <w:proofErr w:type="spellEnd"/>
      <w:r w:rsidRPr="00226AF8">
        <w:rPr>
          <w:rStyle w:val="FootnoteReference"/>
          <w:b/>
          <w:sz w:val="24"/>
          <w:szCs w:val="24"/>
        </w:rPr>
        <w:footnoteReference w:id="19"/>
      </w:r>
      <w:r w:rsidRPr="00226AF8">
        <w:t xml:space="preserve"> (DB), founded in 1911. The main services that DB advertise are: </w:t>
      </w:r>
      <w:r w:rsidRPr="002F3272">
        <w:rPr>
          <w:color w:val="000000"/>
        </w:rPr>
        <w:t>providing telephone consultation for support and guidance; provision of guide dogs; Danish Blind Society consultants, all of whom develop sight loss; Danish blind community housing; clubs, particularly cozy club nights, professional debates, lectures, excursions and trips; Fuglsangcenteret, an accessible hotel for breaks; courses and activities; a traffic companion accompaniment scheme, which allows people to traverse their local communities. In addition, Denmark has a Danish National Library for Persons with Print Disabilities</w:t>
      </w:r>
      <w:r w:rsidRPr="00226AF8">
        <w:rPr>
          <w:rStyle w:val="FootnoteReference"/>
          <w:color w:val="000000"/>
          <w:sz w:val="24"/>
          <w:szCs w:val="24"/>
        </w:rPr>
        <w:footnoteReference w:id="20"/>
      </w:r>
      <w:r w:rsidRPr="002F3272">
        <w:rPr>
          <w:color w:val="000000"/>
        </w:rPr>
        <w:t xml:space="preserve"> (Nota) and the Danish National Library for The Blind</w:t>
      </w:r>
      <w:r w:rsidRPr="00226AF8">
        <w:rPr>
          <w:rStyle w:val="FootnoteReference"/>
          <w:color w:val="000000"/>
          <w:sz w:val="24"/>
          <w:szCs w:val="24"/>
        </w:rPr>
        <w:footnoteReference w:id="21"/>
      </w:r>
      <w:r w:rsidRPr="002F3272">
        <w:rPr>
          <w:color w:val="000000"/>
        </w:rPr>
        <w:t xml:space="preserve"> (DBB).</w:t>
      </w:r>
    </w:p>
    <w:p w:rsidR="00AE3684" w:rsidRPr="00226AF8" w:rsidRDefault="00AE3684" w:rsidP="001E0161">
      <w:pPr>
        <w:pStyle w:val="ListParagraph"/>
        <w:numPr>
          <w:ilvl w:val="0"/>
          <w:numId w:val="8"/>
        </w:numPr>
      </w:pPr>
      <w:r w:rsidRPr="002F3272">
        <w:rPr>
          <w:b/>
        </w:rPr>
        <w:t>Finland</w:t>
      </w:r>
      <w:r w:rsidRPr="00226AF8">
        <w:t xml:space="preserve"> has a p</w:t>
      </w:r>
      <w:r w:rsidRPr="002F3272">
        <w:rPr>
          <w:color w:val="000000"/>
        </w:rPr>
        <w:t>opulation of over 5,500,000, and their main association is the Finnish Federation of the Visually Impaired</w:t>
      </w:r>
      <w:r w:rsidRPr="00226AF8">
        <w:rPr>
          <w:rStyle w:val="FootnoteReference"/>
          <w:color w:val="000000"/>
          <w:sz w:val="24"/>
          <w:szCs w:val="24"/>
        </w:rPr>
        <w:footnoteReference w:id="22"/>
      </w:r>
      <w:r w:rsidRPr="002F3272">
        <w:rPr>
          <w:color w:val="000000"/>
        </w:rPr>
        <w:t xml:space="preserve"> (FFVI), founded in 1928. The main services the FFVI advertise are: advocacy for the blind and partially sighted, including health advocacy; specialist rehabilitation services for those who are losing their sight or have other physical access needs; provision of trained guide dogs; creating networks with international contacts to develop projects and cooperation; provision and training in IT; training and guidance for independent living; the import, sales and lending of technical aids; the production of braille, large-print and audio materials; the transmission of newspapers, magazines and other publications through the web </w:t>
      </w:r>
      <w:r w:rsidRPr="002F3272">
        <w:rPr>
          <w:color w:val="000000"/>
        </w:rPr>
        <w:t>and other digital channels.</w:t>
      </w:r>
    </w:p>
    <w:p w:rsidR="00AE3684" w:rsidRPr="00226AF8" w:rsidRDefault="00AE3684" w:rsidP="001E0161">
      <w:pPr>
        <w:pStyle w:val="ListParagraph"/>
        <w:numPr>
          <w:ilvl w:val="0"/>
          <w:numId w:val="8"/>
        </w:numPr>
      </w:pPr>
      <w:r w:rsidRPr="002F3272">
        <w:rPr>
          <w:b/>
        </w:rPr>
        <w:t>Massachusetts (US)</w:t>
      </w:r>
      <w:r w:rsidRPr="00226AF8">
        <w:t xml:space="preserve"> has a population of more than</w:t>
      </w:r>
      <w:r w:rsidRPr="002F3272">
        <w:rPr>
          <w:color w:val="000000"/>
        </w:rPr>
        <w:t xml:space="preserve"> 6,800,000, and its main association is Massachusetts Commission for the Blind</w:t>
      </w:r>
      <w:r w:rsidRPr="00226AF8">
        <w:rPr>
          <w:rStyle w:val="FootnoteReference"/>
          <w:color w:val="000000"/>
          <w:sz w:val="24"/>
          <w:szCs w:val="24"/>
        </w:rPr>
        <w:footnoteReference w:id="23"/>
      </w:r>
      <w:r w:rsidRPr="002F3272">
        <w:rPr>
          <w:color w:val="000000"/>
        </w:rPr>
        <w:t xml:space="preserve"> (MCB), founded in 1906</w:t>
      </w:r>
      <w:r w:rsidRPr="00226AF8">
        <w:t xml:space="preserve">. The main services MCB advertises are: </w:t>
      </w:r>
      <w:r w:rsidRPr="002F3272">
        <w:rPr>
          <w:color w:val="000000"/>
        </w:rPr>
        <w:t>social rehabilitation of people as they develop sight loss; a specialist service providing support for people who are deaf-blind, through the Deaf Blind Extended Supports Unit (DBES); an MCB Resource Library, which provides Braille, large print and audio reading materials; online reporting for eye care providers. Although MCB is the official state provider of services in Massachusetts, there are also charities providing their own services, the main of which is the American Federation of the Blind</w:t>
      </w:r>
      <w:r w:rsidRPr="00226AF8">
        <w:rPr>
          <w:rStyle w:val="FootnoteReference"/>
          <w:color w:val="000000"/>
          <w:sz w:val="24"/>
          <w:szCs w:val="24"/>
        </w:rPr>
        <w:footnoteReference w:id="24"/>
      </w:r>
      <w:r w:rsidRPr="002F3272">
        <w:rPr>
          <w:color w:val="000000"/>
        </w:rPr>
        <w:t xml:space="preserve"> (AFB). AFB is largely focused on the support and education of younger people. In addition, the National Federation of the Blind</w:t>
      </w:r>
      <w:r w:rsidRPr="00226AF8">
        <w:rPr>
          <w:rStyle w:val="FootnoteReference"/>
          <w:color w:val="000000"/>
          <w:sz w:val="24"/>
          <w:szCs w:val="24"/>
        </w:rPr>
        <w:footnoteReference w:id="25"/>
      </w:r>
      <w:r w:rsidRPr="002F3272">
        <w:rPr>
          <w:color w:val="000000"/>
        </w:rPr>
        <w:t>, Mass. Branch (NFB Mass.) largely provides advocacy, American Printing House [for the Blind]</w:t>
      </w:r>
      <w:r w:rsidRPr="00226AF8">
        <w:rPr>
          <w:rStyle w:val="FootnoteReference"/>
          <w:color w:val="000000"/>
          <w:sz w:val="24"/>
          <w:szCs w:val="24"/>
        </w:rPr>
        <w:footnoteReference w:id="26"/>
      </w:r>
      <w:r w:rsidRPr="002F3272">
        <w:rPr>
          <w:color w:val="000000"/>
        </w:rPr>
        <w:t xml:space="preserve"> (APH) provides a Braille Library (although there is also a large library at Perkins School, Boston, Mass.), and Guiding Eyes for the Blind (GEFB) which trains and provides guide dogs.</w:t>
      </w:r>
    </w:p>
    <w:p w:rsidR="00AE3684" w:rsidRPr="0031165C" w:rsidRDefault="00AE3684" w:rsidP="001E0161">
      <w:pPr>
        <w:pStyle w:val="ListParagraph"/>
        <w:numPr>
          <w:ilvl w:val="0"/>
          <w:numId w:val="8"/>
        </w:numPr>
      </w:pPr>
      <w:r w:rsidRPr="002F3272">
        <w:rPr>
          <w:b/>
        </w:rPr>
        <w:t>New South Wales (Australia)</w:t>
      </w:r>
      <w:r w:rsidRPr="002F3272">
        <w:rPr>
          <w:color w:val="000000"/>
        </w:rPr>
        <w:t xml:space="preserve"> has a population over 7,500,000 people, and its main association for the blind is Blind Citizens NSW</w:t>
      </w:r>
      <w:r w:rsidRPr="00226AF8">
        <w:rPr>
          <w:rStyle w:val="FootnoteReference"/>
          <w:color w:val="000000"/>
          <w:sz w:val="24"/>
          <w:szCs w:val="24"/>
        </w:rPr>
        <w:footnoteReference w:id="27"/>
      </w:r>
      <w:r w:rsidRPr="002F3272">
        <w:rPr>
          <w:color w:val="000000"/>
        </w:rPr>
        <w:t xml:space="preserve"> (BCNSW), founded in 1910. The advertised services of BCNSW include: individual and systemic advocacy for its clients; technology training on its premises (this requires clients travel to its main centres to receive training); Brailling of literature and tuition in Braille (the latter is largely for younger people and children who are blind); a voluntary sewing service for those in need of clothes repairs or minor alterations; peer support and social day social support for participating in external activities; referrals to other </w:t>
      </w:r>
      <w:r w:rsidRPr="002F3272">
        <w:rPr>
          <w:color w:val="000000"/>
        </w:rPr>
        <w:lastRenderedPageBreak/>
        <w:t>specialist services, including assistance training and support, independent travel, daily living and sport and recreation. As with Massachusetts, New South Wales also had recourse to national institutions which were represented in the state, including: Vision Australia</w:t>
      </w:r>
      <w:r w:rsidRPr="00226AF8">
        <w:rPr>
          <w:rStyle w:val="FootnoteReference"/>
          <w:color w:val="000000"/>
          <w:sz w:val="24"/>
          <w:szCs w:val="24"/>
        </w:rPr>
        <w:footnoteReference w:id="28"/>
      </w:r>
      <w:r w:rsidRPr="002F3272">
        <w:rPr>
          <w:color w:val="000000"/>
        </w:rPr>
        <w:t>, which was founded in 2004 and advertises emotional support, practical advice and strategies; The Vision Australia Library, which provides largely digital access to literature; the Royal Society for the Blind</w:t>
      </w:r>
      <w:r w:rsidRPr="00226AF8">
        <w:rPr>
          <w:rStyle w:val="FootnoteReference"/>
          <w:color w:val="000000"/>
          <w:sz w:val="24"/>
          <w:szCs w:val="24"/>
        </w:rPr>
        <w:footnoteReference w:id="29"/>
      </w:r>
      <w:r w:rsidRPr="002F3272">
        <w:rPr>
          <w:color w:val="000000"/>
        </w:rPr>
        <w:t xml:space="preserve"> (RSB), which dates back to 1884, and provides vision health and measurement services and guide dogs.</w:t>
      </w:r>
    </w:p>
    <w:p w:rsidR="0031165C" w:rsidRPr="00226AF8" w:rsidRDefault="0031165C" w:rsidP="00952379">
      <w:pPr>
        <w:pStyle w:val="LSEQuote"/>
      </w:pPr>
      <w:r w:rsidRPr="00A44BA6">
        <w:t>“</w:t>
      </w:r>
      <w:r w:rsidR="00952379" w:rsidRPr="00952379">
        <w:t>In aggregating these services, it was observed that two outstanding service categories were provided by all jurisdictions, and where they were advertised on the websites of associations they were given prominence</w:t>
      </w:r>
      <w:r w:rsidRPr="00A44BA6">
        <w:t>.”</w:t>
      </w:r>
    </w:p>
    <w:p w:rsidR="00AE3684" w:rsidRPr="00226AF8" w:rsidRDefault="00AE3684" w:rsidP="001E0161">
      <w:pPr>
        <w:pStyle w:val="ListParagraph"/>
        <w:numPr>
          <w:ilvl w:val="0"/>
          <w:numId w:val="8"/>
        </w:numPr>
      </w:pPr>
      <w:r w:rsidRPr="002F3272">
        <w:rPr>
          <w:b/>
        </w:rPr>
        <w:t>New Zealand</w:t>
      </w:r>
      <w:r w:rsidRPr="00226AF8">
        <w:t xml:space="preserve"> has a p</w:t>
      </w:r>
      <w:r w:rsidRPr="002F3272">
        <w:rPr>
          <w:color w:val="000000"/>
        </w:rPr>
        <w:t>opulation of more than 4,000,000 people, and its main association is the Blind Foundation</w:t>
      </w:r>
      <w:r w:rsidRPr="00226AF8">
        <w:rPr>
          <w:rStyle w:val="FootnoteReference"/>
          <w:color w:val="000000"/>
          <w:sz w:val="24"/>
          <w:szCs w:val="24"/>
        </w:rPr>
        <w:footnoteReference w:id="30"/>
      </w:r>
      <w:r w:rsidRPr="002F3272">
        <w:rPr>
          <w:color w:val="000000"/>
        </w:rPr>
        <w:t xml:space="preserve"> (BF), founded in 1890. The BF’s advertised services include: the Blind Foundation Library, which has a service called </w:t>
      </w:r>
      <w:proofErr w:type="spellStart"/>
      <w:r w:rsidRPr="002F3272">
        <w:rPr>
          <w:color w:val="000000"/>
        </w:rPr>
        <w:t>BookLink</w:t>
      </w:r>
      <w:proofErr w:type="spellEnd"/>
      <w:r w:rsidRPr="002F3272">
        <w:rPr>
          <w:color w:val="000000"/>
        </w:rPr>
        <w:t xml:space="preserve"> Digital, providing lending and reading services; help with mobility in the community, including training in and the provision of canes; training and providing guide dogs; help with public or private transportation; counselling and training for those adjusting to sight loss and loss of independence; the use of technology, particularly assistive technologies; cultural support for Māori and Pacific clients, </w:t>
      </w:r>
      <w:r w:rsidRPr="002F3272">
        <w:rPr>
          <w:color w:val="000000"/>
        </w:rPr>
        <w:t>Whanau, family and friends; specialist services for those who are deaf-blind.</w:t>
      </w:r>
    </w:p>
    <w:p w:rsidR="00AE3684" w:rsidRPr="00226AF8" w:rsidRDefault="00AE3684" w:rsidP="001E0161">
      <w:pPr>
        <w:pStyle w:val="ListParagraph"/>
        <w:numPr>
          <w:ilvl w:val="0"/>
          <w:numId w:val="8"/>
        </w:numPr>
      </w:pPr>
      <w:r w:rsidRPr="002F3272">
        <w:rPr>
          <w:b/>
        </w:rPr>
        <w:t>Norway</w:t>
      </w:r>
      <w:r w:rsidRPr="00226AF8">
        <w:t xml:space="preserve"> has a p</w:t>
      </w:r>
      <w:r w:rsidRPr="002F3272">
        <w:rPr>
          <w:color w:val="000000"/>
        </w:rPr>
        <w:t>opulation of more than 5,300,000, and its main association is the Norwegian Association of the Blind and Partially Sighted</w:t>
      </w:r>
      <w:r w:rsidRPr="00226AF8">
        <w:rPr>
          <w:rStyle w:val="FootnoteReference"/>
          <w:color w:val="000000"/>
          <w:sz w:val="24"/>
          <w:szCs w:val="24"/>
        </w:rPr>
        <w:footnoteReference w:id="31"/>
      </w:r>
      <w:r w:rsidRPr="002F3272">
        <w:rPr>
          <w:color w:val="000000"/>
        </w:rPr>
        <w:t xml:space="preserve"> (NABPS), founded in 1900. The services it advertises include: rehabilitation for those adjusting to early sight loss and habilitation; magazines for the general public advocating for people who develop sight loss; advise and support for universal design and companies using universal design; providing aids and products; recording and distributing podcasts; providing aids and other technologies for the home; providing enhanced lighting for people with low vision; providing home visits to support clients in their homes; advise and treatment of eye health; providing audio books, guides, electronic reading aids, Braille and read TV; providing white canes and guide dogs and help with mobility; training, general courses and events and providing digital technologies; the association’s Vision and Mastering Centre to provide training and advise; developing physical exercises for clients; running a radio station; providing legal advice and aid for clients.</w:t>
      </w:r>
    </w:p>
    <w:p w:rsidR="00AE3684" w:rsidRPr="00226AF8" w:rsidRDefault="00AE3684" w:rsidP="001E0161">
      <w:pPr>
        <w:pStyle w:val="ListParagraph"/>
        <w:numPr>
          <w:ilvl w:val="0"/>
          <w:numId w:val="8"/>
        </w:numPr>
      </w:pPr>
      <w:r w:rsidRPr="002F3272">
        <w:rPr>
          <w:b/>
        </w:rPr>
        <w:t>Scotland</w:t>
      </w:r>
      <w:r w:rsidRPr="00226AF8">
        <w:t xml:space="preserve"> has a </w:t>
      </w:r>
      <w:r w:rsidRPr="002F3272">
        <w:rPr>
          <w:color w:val="000000"/>
        </w:rPr>
        <w:t>population around 5,300,000, with its largest organization being the Royal National Institute for the Blind Scotland</w:t>
      </w:r>
      <w:r w:rsidRPr="00226AF8">
        <w:rPr>
          <w:rStyle w:val="FootnoteReference"/>
          <w:color w:val="000000"/>
          <w:sz w:val="24"/>
          <w:szCs w:val="24"/>
        </w:rPr>
        <w:footnoteReference w:id="32"/>
      </w:r>
      <w:r w:rsidRPr="002F3272">
        <w:rPr>
          <w:color w:val="000000"/>
        </w:rPr>
        <w:t xml:space="preserve"> (RNIBS), founded in 1868</w:t>
      </w:r>
      <w:r w:rsidRPr="002F3272">
        <w:rPr>
          <w:bCs/>
          <w:color w:val="000000"/>
        </w:rPr>
        <w:t xml:space="preserve">. The services RNIBS advertises include: a </w:t>
      </w:r>
      <w:r w:rsidRPr="002F3272">
        <w:rPr>
          <w:color w:val="000000"/>
        </w:rPr>
        <w:t>helpline for clients and people who have been diagnosed as having sight loss; reading services, providing audio recorded books for clients; services for people with learning disabilities with low vision; residential care homes. In addition, Scotland also has other institutions including Royal Blind</w:t>
      </w:r>
      <w:r w:rsidRPr="00226AF8">
        <w:rPr>
          <w:rStyle w:val="FootnoteReference"/>
          <w:color w:val="000000"/>
          <w:sz w:val="24"/>
          <w:szCs w:val="24"/>
        </w:rPr>
        <w:footnoteReference w:id="33"/>
      </w:r>
      <w:r w:rsidRPr="002F3272">
        <w:rPr>
          <w:color w:val="000000"/>
        </w:rPr>
        <w:t xml:space="preserve"> (RB), one of the oldest associations in the world and founded in 1793 as the Edinburgh asylum, and Scottish National Federation of Institutions and Societies for the Blind, </w:t>
      </w:r>
      <w:r w:rsidRPr="002F3272">
        <w:rPr>
          <w:color w:val="000000"/>
        </w:rPr>
        <w:lastRenderedPageBreak/>
        <w:t xml:space="preserve">found as an advocacy </w:t>
      </w:r>
      <w:r w:rsidR="002F3272">
        <w:rPr>
          <w:color w:val="000000"/>
        </w:rPr>
        <w:pgNum/>
      </w:r>
      <w:proofErr w:type="spellStart"/>
      <w:r w:rsidR="002F3272">
        <w:rPr>
          <w:color w:val="000000"/>
        </w:rPr>
        <w:t>rganization</w:t>
      </w:r>
      <w:proofErr w:type="spellEnd"/>
      <w:r w:rsidRPr="002F3272">
        <w:rPr>
          <w:color w:val="000000"/>
        </w:rPr>
        <w:t xml:space="preserve"> alone in 1917. Royal Blind advertises services focused, although not exclusively, on young people’s needs, including: advise on eye health; nursing care; residential care homes (Braeside House and Jenny</w:t>
      </w:r>
      <w:r w:rsidR="002F3272">
        <w:rPr>
          <w:color w:val="000000"/>
        </w:rPr>
        <w:t>’</w:t>
      </w:r>
      <w:r w:rsidRPr="002F3272">
        <w:rPr>
          <w:color w:val="000000"/>
        </w:rPr>
        <w:t xml:space="preserve">s Well); the Scottish Braille Press, which transcribes documents on demand, provides mostly digital accessible media and books in large print and audio formats, and many magazines and books in Braille. In addition, Scotland has representation from British </w:t>
      </w:r>
      <w:proofErr w:type="spellStart"/>
      <w:r w:rsidRPr="002F3272">
        <w:rPr>
          <w:color w:val="000000"/>
        </w:rPr>
        <w:t>organisations</w:t>
      </w:r>
      <w:proofErr w:type="spellEnd"/>
      <w:r w:rsidRPr="002F3272">
        <w:rPr>
          <w:color w:val="000000"/>
        </w:rPr>
        <w:t>, such as Guide Dogs, whose focus is on training and providing guide dogs.</w:t>
      </w:r>
    </w:p>
    <w:p w:rsidR="00AE3684" w:rsidRPr="001E0FF9" w:rsidRDefault="00AE3684" w:rsidP="001E0161">
      <w:pPr>
        <w:pStyle w:val="ListParagraph"/>
        <w:numPr>
          <w:ilvl w:val="0"/>
          <w:numId w:val="8"/>
        </w:numPr>
      </w:pPr>
      <w:r w:rsidRPr="002F3272">
        <w:rPr>
          <w:b/>
        </w:rPr>
        <w:t>Sweden</w:t>
      </w:r>
      <w:r w:rsidRPr="00226AF8">
        <w:t xml:space="preserve"> has a pop</w:t>
      </w:r>
      <w:r w:rsidRPr="002F3272">
        <w:rPr>
          <w:color w:val="000000"/>
        </w:rPr>
        <w:t>ulation in excess of 10,000,000, with its largest association being the Swedish Association of the Visually Impaired</w:t>
      </w:r>
      <w:r w:rsidRPr="00226AF8">
        <w:rPr>
          <w:rStyle w:val="FootnoteReference"/>
          <w:color w:val="000000"/>
          <w:sz w:val="24"/>
          <w:szCs w:val="24"/>
        </w:rPr>
        <w:footnoteReference w:id="34"/>
      </w:r>
      <w:r w:rsidRPr="002F3272">
        <w:rPr>
          <w:color w:val="000000"/>
        </w:rPr>
        <w:t xml:space="preserve"> (SAVI), founded in 1889. This association advertises the following services: advocacy, both personal and larger political advocacy, for people who are blind; guarding against discrimination of people with sight loss; changing societal attitudes towards people with sight loss; politically and socially defending a general welfare system; providing legal advice for people who develop sight loss; providing social information for people who develop sight loss; producing Perspective, a newspaper for the National Social Security Council; providing Radio SRF for people who develop sight loss; providing an audio archive of documents; support for people who are newly arrived in Sweden and who develop sight loss; various language services for people who develop sight loss and who are from different language groups; “The Cultural Project”, </w:t>
      </w:r>
      <w:proofErr w:type="spellStart"/>
      <w:r w:rsidRPr="002F3272">
        <w:rPr>
          <w:color w:val="000000"/>
        </w:rPr>
        <w:t>Konstvärka</w:t>
      </w:r>
      <w:proofErr w:type="spellEnd"/>
      <w:r w:rsidRPr="002F3272">
        <w:rPr>
          <w:color w:val="000000"/>
        </w:rPr>
        <w:t xml:space="preserve">, providing education on accessible culture; the provision of rehabilitation training for people who have recent sight loss; </w:t>
      </w:r>
      <w:proofErr w:type="spellStart"/>
      <w:r w:rsidRPr="002F3272">
        <w:rPr>
          <w:color w:val="000000"/>
        </w:rPr>
        <w:t>Synskadade</w:t>
      </w:r>
      <w:proofErr w:type="spellEnd"/>
      <w:r w:rsidRPr="002F3272">
        <w:rPr>
          <w:color w:val="000000"/>
        </w:rPr>
        <w:t xml:space="preserve"> </w:t>
      </w:r>
      <w:proofErr w:type="spellStart"/>
      <w:r w:rsidRPr="002F3272">
        <w:rPr>
          <w:color w:val="000000"/>
        </w:rPr>
        <w:t>Riksförbund’s</w:t>
      </w:r>
      <w:proofErr w:type="spellEnd"/>
      <w:r w:rsidRPr="002F3272">
        <w:rPr>
          <w:color w:val="000000"/>
        </w:rPr>
        <w:t xml:space="preserve">, which is a travel agency specifically for people who develop sight loss; education for and about people who develop sight loss. In addition, Sweden also has other, smaller </w:t>
      </w:r>
      <w:r w:rsidRPr="002F3272">
        <w:rPr>
          <w:color w:val="000000"/>
        </w:rPr>
        <w:t>associations, such as Guide Dogs Stockholm</w:t>
      </w:r>
      <w:r>
        <w:rPr>
          <w:rStyle w:val="FootnoteReference"/>
          <w:color w:val="000000"/>
          <w:sz w:val="24"/>
          <w:szCs w:val="24"/>
        </w:rPr>
        <w:footnoteReference w:id="35"/>
      </w:r>
      <w:r w:rsidRPr="002F3272">
        <w:rPr>
          <w:color w:val="000000"/>
        </w:rPr>
        <w:t xml:space="preserve"> (GDS)/Assistance Dogs International</w:t>
      </w:r>
      <w:r>
        <w:rPr>
          <w:rStyle w:val="FootnoteReference"/>
          <w:color w:val="000000"/>
          <w:sz w:val="24"/>
          <w:szCs w:val="24"/>
        </w:rPr>
        <w:footnoteReference w:id="36"/>
      </w:r>
      <w:r w:rsidRPr="002F3272">
        <w:rPr>
          <w:color w:val="000000"/>
        </w:rPr>
        <w:t>, which trains and provides guide dogs for people inside and outside Sweden, the Swedish Library of Talking Books and Braille</w:t>
      </w:r>
      <w:r>
        <w:rPr>
          <w:rStyle w:val="FootnoteReference"/>
          <w:color w:val="000000"/>
          <w:sz w:val="24"/>
          <w:szCs w:val="24"/>
        </w:rPr>
        <w:footnoteReference w:id="37"/>
      </w:r>
      <w:r w:rsidRPr="002F3272">
        <w:rPr>
          <w:color w:val="000000"/>
        </w:rPr>
        <w:t xml:space="preserve"> (SLTBB), which provides Braille and audio books.</w:t>
      </w:r>
    </w:p>
    <w:p w:rsidR="00AE3684" w:rsidRPr="001E0FF9" w:rsidRDefault="000D726E" w:rsidP="002F3272">
      <w:pPr>
        <w:pStyle w:val="Sub-head"/>
      </w:pPr>
      <w:r>
        <w:t>5</w:t>
      </w:r>
      <w:r w:rsidR="002F3272">
        <w:t>.2 Discussion</w:t>
      </w:r>
    </w:p>
    <w:p w:rsidR="00AE3684" w:rsidRDefault="00AE3684" w:rsidP="002F3272">
      <w:r>
        <w:t>In aggregating these services, it was observed that two</w:t>
      </w:r>
      <w:r w:rsidRPr="002B203C">
        <w:t xml:space="preserve"> outstanding service categories</w:t>
      </w:r>
      <w:r>
        <w:t xml:space="preserve"> were provided by all jurisdictions, and where they were advertised on the websites of associations they were given prominence.</w:t>
      </w:r>
    </w:p>
    <w:p w:rsidR="00AE3684" w:rsidRPr="0031165C" w:rsidRDefault="00523CEB" w:rsidP="0031165C">
      <w:pPr>
        <w:rPr>
          <w:color w:val="000000"/>
        </w:rPr>
      </w:pPr>
      <w:r>
        <w:t>For example, h</w:t>
      </w:r>
      <w:r w:rsidR="00AE3684" w:rsidRPr="00533B55">
        <w:t xml:space="preserve">ealth </w:t>
      </w:r>
      <w:r>
        <w:t>c</w:t>
      </w:r>
      <w:r w:rsidR="00AE3684" w:rsidRPr="00533B55">
        <w:t xml:space="preserve">are, particularly </w:t>
      </w:r>
      <w:r w:rsidR="00AE3684">
        <w:t>those</w:t>
      </w:r>
      <w:r w:rsidR="00AE3684" w:rsidRPr="00533B55">
        <w:t xml:space="preserve"> related to eye care</w:t>
      </w:r>
      <w:r>
        <w:t xml:space="preserve">, was </w:t>
      </w:r>
      <w:proofErr w:type="spellStart"/>
      <w:r>
        <w:t>emphasised</w:t>
      </w:r>
      <w:proofErr w:type="spellEnd"/>
      <w:r w:rsidR="00AE3684" w:rsidRPr="00533B55">
        <w:t xml:space="preserve"> - </w:t>
      </w:r>
      <w:r w:rsidR="00AE3684" w:rsidRPr="0031165C">
        <w:rPr>
          <w:color w:val="000000"/>
        </w:rPr>
        <w:t>all associations considered eye healthcare to be particularly important, and general healthcare advice is given by most associations. Some associations provided support for promoting mental health, general learning disabilities and dual sensory loss – although in this respect, there was an emphasis on deaf-blindness, as a single category of impairment.</w:t>
      </w:r>
    </w:p>
    <w:p w:rsidR="00AE3684" w:rsidRPr="0031165C" w:rsidRDefault="00AE3684" w:rsidP="0031165C">
      <w:pPr>
        <w:rPr>
          <w:color w:val="000000"/>
        </w:rPr>
      </w:pPr>
      <w:r w:rsidRPr="0031165C">
        <w:rPr>
          <w:color w:val="000000"/>
        </w:rPr>
        <w:t>Some associations were also linked to government-run national health agencies through their website. However, no association in the survey provided medical treatment, initial assessments or diagnosis for their clients.</w:t>
      </w:r>
    </w:p>
    <w:p w:rsidR="00AE3684" w:rsidRPr="0031165C" w:rsidRDefault="00992C39" w:rsidP="0031165C">
      <w:pPr>
        <w:rPr>
          <w:color w:val="000000"/>
        </w:rPr>
      </w:pPr>
      <w:r>
        <w:rPr>
          <w:color w:val="000000"/>
        </w:rPr>
        <w:t>Similarly, a</w:t>
      </w:r>
      <w:r w:rsidR="00AE3684" w:rsidRPr="0031165C">
        <w:rPr>
          <w:color w:val="000000"/>
        </w:rPr>
        <w:t xml:space="preserve">ll jurisdictions surveyed </w:t>
      </w:r>
      <w:r>
        <w:rPr>
          <w:color w:val="000000"/>
        </w:rPr>
        <w:t xml:space="preserve">also </w:t>
      </w:r>
      <w:r w:rsidR="00AE3684" w:rsidRPr="0031165C">
        <w:rPr>
          <w:color w:val="000000"/>
        </w:rPr>
        <w:t>had at least one association that provided IT and specialist library services, support, help or training in the use of IT, and most associations provided assistive technologies for their clients – either paid for or free.</w:t>
      </w:r>
    </w:p>
    <w:p w:rsidR="00AE3684" w:rsidRPr="0031165C" w:rsidRDefault="00AE3684" w:rsidP="0031165C">
      <w:pPr>
        <w:rPr>
          <w:color w:val="000000"/>
        </w:rPr>
      </w:pPr>
      <w:r w:rsidRPr="001E0FF9">
        <w:t>Taking the observations</w:t>
      </w:r>
      <w:r>
        <w:t xml:space="preserve"> </w:t>
      </w:r>
      <w:r w:rsidRPr="001E0FF9">
        <w:t>from the first phase of research</w:t>
      </w:r>
      <w:r>
        <w:t xml:space="preserve"> and categories of inclusive capital</w:t>
      </w:r>
      <w:r w:rsidRPr="001E0FF9">
        <w:t xml:space="preserve"> into account, initial observations of this survey showed </w:t>
      </w:r>
      <w:r w:rsidRPr="0031165C">
        <w:rPr>
          <w:color w:val="000000"/>
        </w:rPr>
        <w:t xml:space="preserve">jurisdictions often have multiple agencies which have their own specialist services. Most of these services relate to the provision of information (talking libraries, Braille, etc.) and education (rehabilitation), with mobility and access to the community spaces and places (including centres for meeting and travelling) playing a lesser role, and activities that allowed for networking </w:t>
      </w:r>
      <w:r w:rsidRPr="0031165C">
        <w:rPr>
          <w:color w:val="000000"/>
        </w:rPr>
        <w:lastRenderedPageBreak/>
        <w:t xml:space="preserve">taking arguably </w:t>
      </w:r>
      <w:r w:rsidRPr="0031165C">
        <w:rPr>
          <w:color w:val="000000"/>
          <w:u w:val="single"/>
        </w:rPr>
        <w:t>the</w:t>
      </w:r>
      <w:r w:rsidRPr="0031165C">
        <w:rPr>
          <w:color w:val="000000"/>
        </w:rPr>
        <w:t xml:space="preserve"> lesser role (including the chance to be with or learn with family and friends) – although admittedly the opportunity to live in your own home and being supported as such would provide an opportunity to continue being around family.</w:t>
      </w:r>
    </w:p>
    <w:p w:rsidR="00AE3684" w:rsidRPr="001E0FF9" w:rsidRDefault="00AE3684" w:rsidP="0031165C">
      <w:r w:rsidRPr="0031165C">
        <w:rPr>
          <w:color w:val="000000"/>
        </w:rPr>
        <w:t>These jurisdictions, however, rarely discussed or took account of the geographical distribution or increasing age of its population – one notable exception to this issue was New Zealand’s BF, which had a specific service for its indigenous populations and populations on smaller islands.</w:t>
      </w:r>
    </w:p>
    <w:p w:rsidR="00AE3684" w:rsidRPr="0031165C" w:rsidRDefault="00AE3684" w:rsidP="0031165C">
      <w:pPr>
        <w:rPr>
          <w:color w:val="000000"/>
        </w:rPr>
      </w:pPr>
      <w:r w:rsidRPr="0031165C">
        <w:rPr>
          <w:color w:val="000000"/>
        </w:rPr>
        <w:t>In addition, it was found that where there was more than one association for people who developed sight loss, these associations’ services often overlapped. This suggested that there was competition between service providers and possibly a lack of joined-up provision of services.</w:t>
      </w:r>
    </w:p>
    <w:p w:rsidR="00AE3684" w:rsidRPr="0031165C" w:rsidRDefault="00AE3684" w:rsidP="0031165C">
      <w:pPr>
        <w:rPr>
          <w:color w:val="000000"/>
        </w:rPr>
      </w:pPr>
      <w:r w:rsidRPr="0031165C">
        <w:rPr>
          <w:color w:val="000000"/>
        </w:rPr>
        <w:t>Furthermore, as jurisdictions with older associations were found to be more likely to have overlapping services, it was inferred that associations often stuck to traditional roles rather than investigated the need to develop new roles. The inference that many traditional associations stuck with their traditional services was also supported by the observation that some of these services appeared to be confused.</w:t>
      </w:r>
    </w:p>
    <w:p w:rsidR="00AE3684" w:rsidRPr="0031165C" w:rsidRDefault="00AE3684" w:rsidP="0031165C">
      <w:pPr>
        <w:rPr>
          <w:color w:val="000000"/>
        </w:rPr>
      </w:pPr>
      <w:r w:rsidRPr="0031165C">
        <w:rPr>
          <w:color w:val="000000"/>
        </w:rPr>
        <w:t>It was also observed that smaller jurisdictions by population tended to have single associations and services, and these services tend to overlap with similar jurisdictions’ services. For example, almost all associations provided Brailling of existing documents and almost all services provided traditional mobility and rehabilitation training.</w:t>
      </w:r>
    </w:p>
    <w:p w:rsidR="00AE3684" w:rsidRPr="0031165C" w:rsidRDefault="00AE3684" w:rsidP="0031165C">
      <w:pPr>
        <w:rPr>
          <w:color w:val="000000"/>
        </w:rPr>
      </w:pPr>
      <w:r w:rsidRPr="0031165C">
        <w:rPr>
          <w:color w:val="000000"/>
        </w:rPr>
        <w:t>Where they did divert, jurisdictions only tended to deviate because their specialist services tended to be influenced by unique political or cultural backgrounds – such as New Zealand’s services for indigenous populations. Similarly, Sweden emphasized political advocacy almost at the expense of more practical issues, as it attempted to promote its open, social democratic society.</w:t>
      </w:r>
    </w:p>
    <w:p w:rsidR="00AE3684" w:rsidRPr="0031165C" w:rsidRDefault="00AE3684" w:rsidP="0031165C">
      <w:pPr>
        <w:rPr>
          <w:color w:val="000000"/>
        </w:rPr>
      </w:pPr>
      <w:r w:rsidRPr="0031165C">
        <w:rPr>
          <w:color w:val="000000"/>
        </w:rPr>
        <w:t xml:space="preserve">In relation to services specifically targeted at a growing population of OA or SOA, it was noticeable that few associations, or combined associations in the same jurisdiction, accounted for differentiated needs. For example, very few associations specialized in </w:t>
      </w:r>
      <w:r w:rsidRPr="0031165C">
        <w:rPr>
          <w:color w:val="000000"/>
        </w:rPr>
        <w:t>assistive technology help or training for OA or SOA – most IT training was vocational.</w:t>
      </w:r>
    </w:p>
    <w:p w:rsidR="00AE3684" w:rsidRPr="0031165C" w:rsidRDefault="00AE3684" w:rsidP="0031165C">
      <w:pPr>
        <w:rPr>
          <w:color w:val="000000"/>
        </w:rPr>
      </w:pPr>
      <w:r w:rsidRPr="0031165C">
        <w:rPr>
          <w:color w:val="000000"/>
        </w:rPr>
        <w:t>In addition, although libraries existed in almost all jurisdictions, they were often Braille based and therefore were of little use to the majority of OA and SOA who do not read Braille. Few associations also supported transport and independent mobility, or advertised cultural services to promote well-being – and where cultural services existed, these tended to be for younger people, both adults and children.</w:t>
      </w:r>
    </w:p>
    <w:p w:rsidR="00AE3684" w:rsidRPr="0031165C" w:rsidRDefault="00AE3684" w:rsidP="0031165C">
      <w:pPr>
        <w:rPr>
          <w:color w:val="000000"/>
        </w:rPr>
      </w:pPr>
      <w:r w:rsidRPr="0031165C">
        <w:rPr>
          <w:color w:val="000000"/>
        </w:rPr>
        <w:t xml:space="preserve">Similarly, although all associations had websites or other sources of information available there was very rarely any specialist service for older adults or an OAS “tab,” “hyperlink” or “button” - where there was a separate page for OA or SOA, there was rarely a specialized information source for older people. </w:t>
      </w:r>
    </w:p>
    <w:p w:rsidR="00AE3684" w:rsidRPr="0031165C" w:rsidRDefault="00AE3684" w:rsidP="0031165C">
      <w:pPr>
        <w:rPr>
          <w:color w:val="000000"/>
        </w:rPr>
      </w:pPr>
      <w:r w:rsidRPr="0031165C">
        <w:rPr>
          <w:color w:val="000000"/>
        </w:rPr>
        <w:t>Furthermore, where there was emphasis on services that could be especially helpful to OA and SOA, these services again tended to still be advertised as a means of supporting younger adults. For example:</w:t>
      </w:r>
    </w:p>
    <w:p w:rsidR="00AE3684" w:rsidRPr="0031165C" w:rsidRDefault="00AE3684" w:rsidP="0031165C">
      <w:pPr>
        <w:rPr>
          <w:color w:val="000000"/>
        </w:rPr>
      </w:pPr>
      <w:r w:rsidRPr="0031165C">
        <w:rPr>
          <w:color w:val="000000"/>
        </w:rPr>
        <w:t>advocacy was highly represented in many jurisdictions’ services, however where advocacy was promoted it often focused on younger people’s services or advocacy for the equal employment of those of working age.</w:t>
      </w:r>
    </w:p>
    <w:p w:rsidR="00AE3684" w:rsidRPr="0031165C" w:rsidRDefault="00AE3684" w:rsidP="0031165C">
      <w:pPr>
        <w:rPr>
          <w:color w:val="000000"/>
        </w:rPr>
      </w:pPr>
      <w:r w:rsidRPr="0031165C">
        <w:rPr>
          <w:color w:val="000000"/>
        </w:rPr>
        <w:t>services related to health care tended to be advertised in a way that was general to all age groups, and did not appear to cover health issues specifically related to OA or SOA, such as dementia.</w:t>
      </w:r>
    </w:p>
    <w:p w:rsidR="00AE3684" w:rsidRPr="0031165C" w:rsidRDefault="00AE3684" w:rsidP="0031165C">
      <w:pPr>
        <w:rPr>
          <w:color w:val="000000"/>
        </w:rPr>
      </w:pPr>
      <w:r w:rsidRPr="0031165C">
        <w:rPr>
          <w:color w:val="000000"/>
        </w:rPr>
        <w:t xml:space="preserve">IT services were advertised in almost all jurisdictions, although none appeared to specialize in OAs, and the greater majority of IT support was designed for those in work or full-time education – although admittedly the largest demographic developing sight loss at present is working age adults. For instance, adverts and information pages on training in adaptive technologies around the house did not specialize in the needs of OA or SOA. </w:t>
      </w:r>
    </w:p>
    <w:p w:rsidR="00AE3684" w:rsidRPr="0031165C" w:rsidRDefault="00AE3684" w:rsidP="0031165C">
      <w:pPr>
        <w:rPr>
          <w:color w:val="000000"/>
        </w:rPr>
      </w:pPr>
      <w:r w:rsidRPr="0031165C">
        <w:rPr>
          <w:color w:val="000000"/>
        </w:rPr>
        <w:t>services related to independent living skills were found to occasionally have an emphasis on OA, although again not exclusively and with little mention of SOA – a number of associations tended to deemphasise independent living for OA and SOA, and focused instead on residential care homes.</w:t>
      </w:r>
    </w:p>
    <w:p w:rsidR="00AE3684" w:rsidRPr="0031165C" w:rsidRDefault="00AE3684" w:rsidP="0031165C">
      <w:pPr>
        <w:rPr>
          <w:color w:val="000000"/>
        </w:rPr>
      </w:pPr>
      <w:r w:rsidRPr="0031165C">
        <w:rPr>
          <w:color w:val="000000"/>
        </w:rPr>
        <w:t xml:space="preserve">mobility training and rehabilitation training still seemed to focus on the transition of people </w:t>
      </w:r>
      <w:r w:rsidRPr="0031165C">
        <w:rPr>
          <w:color w:val="000000"/>
        </w:rPr>
        <w:lastRenderedPageBreak/>
        <w:t>losing their sight in working-age adult life training, younger adults and children.</w:t>
      </w:r>
    </w:p>
    <w:p w:rsidR="00AE3684" w:rsidRPr="0031165C" w:rsidRDefault="00AE3684" w:rsidP="0031165C">
      <w:pPr>
        <w:rPr>
          <w:color w:val="000000"/>
        </w:rPr>
      </w:pPr>
      <w:r w:rsidRPr="0031165C">
        <w:rPr>
          <w:color w:val="000000"/>
        </w:rPr>
        <w:t>few associations advertised counselling, low vision or mental health services, and none could be found to mention specialized services for OA or SOA in these fields.</w:t>
      </w:r>
    </w:p>
    <w:p w:rsidR="00AE3684" w:rsidRPr="0031165C" w:rsidRDefault="00AE3684" w:rsidP="0031165C">
      <w:pPr>
        <w:rPr>
          <w:color w:val="000000"/>
        </w:rPr>
      </w:pPr>
      <w:r w:rsidRPr="0031165C">
        <w:rPr>
          <w:color w:val="000000"/>
        </w:rPr>
        <w:t>although many associations provided information on benefits and state entitlements, these again tended to focus on benefits for those of working age or those in education. Little mention was made of pensions or other entitlements that OA and SOA would particularly need.</w:t>
      </w:r>
    </w:p>
    <w:p w:rsidR="00AE3684" w:rsidRPr="002B203C" w:rsidRDefault="00AE3684" w:rsidP="002F3272">
      <w:r>
        <w:t>The h</w:t>
      </w:r>
      <w:r w:rsidRPr="002B203C">
        <w:t>ypothesis</w:t>
      </w:r>
      <w:r>
        <w:t xml:space="preserve"> we tested in the third second based on these findings was as follows:</w:t>
      </w:r>
    </w:p>
    <w:p w:rsidR="00AE3684" w:rsidRPr="00A64BE8" w:rsidRDefault="00AE3684" w:rsidP="00A64BE8">
      <w:pPr>
        <w:ind w:left="720"/>
        <w:rPr>
          <w:i/>
          <w:color w:val="000000" w:themeColor="text1"/>
        </w:rPr>
      </w:pPr>
      <w:r w:rsidRPr="00A64BE8">
        <w:rPr>
          <w:i/>
        </w:rPr>
        <w:t>Apart from independent living skills, few small jurisdictions appear to have specialist services for OA, which largely ignores the changing demographics of a growing need for discrete OAS. In addition, services too often appear to be based on institutional tradition rather than targeted needs.</w:t>
      </w:r>
    </w:p>
    <w:p w:rsidR="00AE3684" w:rsidRDefault="00AE3684" w:rsidP="002F3272">
      <w:pPr>
        <w:rPr>
          <w:rFonts w:ascii="Times New Roman" w:hAnsi="Times New Roman" w:cs="Times New Roman"/>
          <w:color w:val="000000" w:themeColor="text1"/>
          <w:sz w:val="24"/>
          <w:szCs w:val="24"/>
        </w:rPr>
      </w:pPr>
      <w:r w:rsidRPr="002B203C">
        <w:rPr>
          <w:rFonts w:ascii="Times New Roman" w:hAnsi="Times New Roman" w:cs="Times New Roman"/>
          <w:color w:val="000000" w:themeColor="text1"/>
          <w:sz w:val="24"/>
          <w:szCs w:val="24"/>
        </w:rPr>
        <w:br w:type="page"/>
      </w:r>
    </w:p>
    <w:p w:rsidR="00AE3684" w:rsidRPr="00574624" w:rsidRDefault="000D726E" w:rsidP="0031165C">
      <w:pPr>
        <w:pStyle w:val="Heading"/>
      </w:pPr>
      <w:r>
        <w:lastRenderedPageBreak/>
        <w:t>6</w:t>
      </w:r>
      <w:r w:rsidR="0031165C">
        <w:t xml:space="preserve"> Analysis of the</w:t>
      </w:r>
      <w:r w:rsidR="00AE3684" w:rsidRPr="00574624">
        <w:t xml:space="preserve"> </w:t>
      </w:r>
      <w:r w:rsidR="00AE3684">
        <w:t>Third</w:t>
      </w:r>
      <w:r w:rsidR="00AE3684" w:rsidRPr="00574624">
        <w:t xml:space="preserve"> Phase</w:t>
      </w:r>
    </w:p>
    <w:p w:rsidR="00AE3684" w:rsidRPr="00574624" w:rsidRDefault="000D726E" w:rsidP="0031165C">
      <w:pPr>
        <w:pStyle w:val="Sub-head"/>
      </w:pPr>
      <w:r>
        <w:t>6</w:t>
      </w:r>
      <w:r w:rsidR="0031165C">
        <w:t xml:space="preserve">.1 </w:t>
      </w:r>
      <w:r w:rsidR="00AE3684" w:rsidRPr="00574624">
        <w:t>Analysis of the Unrefined Hypothesis</w:t>
      </w:r>
    </w:p>
    <w:p w:rsidR="00AE3684" w:rsidRDefault="00AE3684" w:rsidP="0031165C">
      <w:r>
        <w:t xml:space="preserve">Academic literature analysed in the third phase attempted to reflect the jurisdictions sampled in the second phase, in order to maintain consistency of analysis. This data suggested that the hypothesis was largely supported by the academic literature. For instance, it was observed that studies of OA and SOA were relatively rare in </w:t>
      </w:r>
      <w:r w:rsidRPr="009310E3">
        <w:rPr>
          <w:i/>
        </w:rPr>
        <w:t>Western</w:t>
      </w:r>
      <w:r>
        <w:t xml:space="preserve"> jurisdictions – this classification includes Australia and New Zealand – as these jurisdictions tended to examine OA and SOA as a whole group no matter what their impairment. It was also observed the greater number of studies of sight loss were based in the Far East and the Indian Subcontinent, and were linked to the medical treatment of eye conditions.</w:t>
      </w:r>
    </w:p>
    <w:p w:rsidR="00AE3684" w:rsidRDefault="00AE3684" w:rsidP="0031165C">
      <w:r>
        <w:t>In literature relating to the eight jurisdictions, the need for services specialising in the needs of OA and SOA as a distinct community tend not to differentiate according to traditional understandings of impairment. For example, a design-for-all Nordic liberal approach is advocated in Denmark</w:t>
      </w:r>
      <w:r>
        <w:rPr>
          <w:rStyle w:val="FootnoteReference"/>
          <w:color w:val="000000" w:themeColor="text1"/>
          <w:sz w:val="24"/>
          <w:szCs w:val="24"/>
        </w:rPr>
        <w:footnoteReference w:id="38"/>
      </w:r>
      <w:r>
        <w:t xml:space="preserve">. This approach </w:t>
      </w:r>
      <w:proofErr w:type="spellStart"/>
      <w:r>
        <w:t>recognises</w:t>
      </w:r>
      <w:proofErr w:type="spellEnd"/>
      <w:r>
        <w:t xml:space="preserve"> the particular issues OA and SOA often face, including falls and problems with memory, however the needs of low vision are </w:t>
      </w:r>
      <w:r>
        <w:t>not discussed separately.</w:t>
      </w:r>
    </w:p>
    <w:p w:rsidR="00AE3684" w:rsidRDefault="00AE3684" w:rsidP="0031165C">
      <w:r>
        <w:t>Where a</w:t>
      </w:r>
      <w:r w:rsidRPr="00CC06F1">
        <w:t xml:space="preserve">cademic literature on </w:t>
      </w:r>
      <w:r>
        <w:t xml:space="preserve">OAS for people developing sight loss existed, however, it often identified a potential need for separate OAS for those developing sight losses. This literature also appeared to </w:t>
      </w:r>
      <w:r w:rsidRPr="00CC06F1">
        <w:t>f</w:t>
      </w:r>
      <w:r>
        <w:t>a</w:t>
      </w:r>
      <w:r w:rsidRPr="00CC06F1">
        <w:t>ll into categories mostly reflecting the five elements of inclusive capital</w:t>
      </w:r>
      <w:r>
        <w:t>: n</w:t>
      </w:r>
      <w:r w:rsidRPr="00CC06F1">
        <w:t>etworking –</w:t>
      </w:r>
      <w:r>
        <w:t xml:space="preserve"> this identified particular issues of </w:t>
      </w:r>
      <w:r w:rsidRPr="00CC06F1">
        <w:t>well-being</w:t>
      </w:r>
      <w:r>
        <w:t xml:space="preserve"> and</w:t>
      </w:r>
      <w:r w:rsidRPr="00CC06F1">
        <w:t xml:space="preserve"> mental healt</w:t>
      </w:r>
      <w:r>
        <w:t>h that were particular to people who develop sight loss</w:t>
      </w:r>
      <w:r>
        <w:rPr>
          <w:rStyle w:val="FootnoteReference"/>
          <w:color w:val="000000" w:themeColor="text1"/>
          <w:sz w:val="24"/>
          <w:szCs w:val="24"/>
        </w:rPr>
        <w:footnoteReference w:id="39"/>
      </w:r>
      <w:r>
        <w:t>; l</w:t>
      </w:r>
      <w:r w:rsidRPr="00CC06F1">
        <w:t>earning – re-education to be able to remain independent</w:t>
      </w:r>
      <w:r>
        <w:t>, especially through bonding in community spaces</w:t>
      </w:r>
      <w:r>
        <w:rPr>
          <w:rStyle w:val="FootnoteReference"/>
          <w:color w:val="000000" w:themeColor="text1"/>
          <w:sz w:val="24"/>
          <w:szCs w:val="24"/>
        </w:rPr>
        <w:footnoteReference w:id="40"/>
      </w:r>
      <w:r>
        <w:t xml:space="preserve">; </w:t>
      </w:r>
      <w:r w:rsidRPr="00CC06F1">
        <w:t>Information – provision of information on services</w:t>
      </w:r>
      <w:r>
        <w:rPr>
          <w:rStyle w:val="FootnoteReference"/>
          <w:color w:val="000000" w:themeColor="text1"/>
          <w:sz w:val="24"/>
          <w:szCs w:val="24"/>
        </w:rPr>
        <w:footnoteReference w:id="41"/>
      </w:r>
      <w:r>
        <w:t>, particularly technology</w:t>
      </w:r>
      <w:r w:rsidRPr="00CD113B">
        <w:rPr>
          <w:rStyle w:val="FootnoteReference"/>
          <w:color w:val="000000" w:themeColor="text1"/>
          <w:sz w:val="24"/>
          <w:szCs w:val="24"/>
        </w:rPr>
        <w:footnoteReference w:id="42"/>
      </w:r>
      <w:r w:rsidRPr="00CD113B">
        <w:rPr>
          <w:vertAlign w:val="superscript"/>
        </w:rPr>
        <w:t>,</w:t>
      </w:r>
      <w:r w:rsidRPr="00CD113B">
        <w:rPr>
          <w:rStyle w:val="FootnoteReference"/>
          <w:color w:val="000000" w:themeColor="text1"/>
          <w:sz w:val="24"/>
          <w:szCs w:val="24"/>
        </w:rPr>
        <w:footnoteReference w:id="43"/>
      </w:r>
      <w:r w:rsidRPr="00CD113B">
        <w:rPr>
          <w:vertAlign w:val="superscript"/>
        </w:rPr>
        <w:t>,</w:t>
      </w:r>
      <w:r w:rsidRPr="00CD113B">
        <w:rPr>
          <w:rStyle w:val="FootnoteReference"/>
          <w:color w:val="000000" w:themeColor="text1"/>
          <w:sz w:val="24"/>
          <w:szCs w:val="24"/>
        </w:rPr>
        <w:footnoteReference w:id="44"/>
      </w:r>
      <w:r w:rsidRPr="00CD113B">
        <w:rPr>
          <w:vertAlign w:val="superscript"/>
        </w:rPr>
        <w:t>,</w:t>
      </w:r>
      <w:r w:rsidRPr="00CD113B">
        <w:rPr>
          <w:rStyle w:val="FootnoteReference"/>
          <w:color w:val="000000" w:themeColor="text1"/>
          <w:sz w:val="24"/>
          <w:szCs w:val="24"/>
        </w:rPr>
        <w:footnoteReference w:id="45"/>
      </w:r>
      <w:r w:rsidRPr="00CD113B">
        <w:rPr>
          <w:vertAlign w:val="superscript"/>
        </w:rPr>
        <w:t>,</w:t>
      </w:r>
      <w:r w:rsidRPr="00CD113B">
        <w:rPr>
          <w:rStyle w:val="FootnoteReference"/>
          <w:color w:val="000000" w:themeColor="text1"/>
          <w:sz w:val="24"/>
          <w:szCs w:val="24"/>
        </w:rPr>
        <w:footnoteReference w:id="46"/>
      </w:r>
      <w:r w:rsidRPr="00CD113B">
        <w:t xml:space="preserve"> </w:t>
      </w:r>
      <w:r>
        <w:t>were perhaps the most identified OAS in the literature, and showed how specialist information and technology services were needed; s</w:t>
      </w:r>
      <w:r w:rsidRPr="00CC06F1">
        <w:t>pace &amp; place – related to independent living in home and community</w:t>
      </w:r>
      <w:r>
        <w:t xml:space="preserve"> and </w:t>
      </w:r>
      <w:proofErr w:type="spellStart"/>
      <w:r>
        <w:t>favoured</w:t>
      </w:r>
      <w:proofErr w:type="spellEnd"/>
      <w:r>
        <w:t xml:space="preserve"> the support of clients for issues relating to physical and mental health in old </w:t>
      </w:r>
      <w:r>
        <w:lastRenderedPageBreak/>
        <w:t>age</w:t>
      </w:r>
      <w:r w:rsidRPr="00CD113B">
        <w:rPr>
          <w:rStyle w:val="FootnoteReference"/>
          <w:color w:val="000000" w:themeColor="text1"/>
          <w:sz w:val="24"/>
          <w:szCs w:val="24"/>
        </w:rPr>
        <w:footnoteReference w:id="47"/>
      </w:r>
      <w:r w:rsidRPr="00CD113B">
        <w:rPr>
          <w:vertAlign w:val="superscript"/>
        </w:rPr>
        <w:t>,</w:t>
      </w:r>
      <w:r w:rsidRPr="00CD113B">
        <w:rPr>
          <w:rStyle w:val="FootnoteReference"/>
          <w:color w:val="000000" w:themeColor="text1"/>
          <w:sz w:val="24"/>
          <w:szCs w:val="24"/>
        </w:rPr>
        <w:footnoteReference w:id="48"/>
      </w:r>
      <w:r w:rsidRPr="00CD113B">
        <w:rPr>
          <w:vertAlign w:val="superscript"/>
        </w:rPr>
        <w:t>,</w:t>
      </w:r>
      <w:r w:rsidRPr="00CD113B">
        <w:rPr>
          <w:rStyle w:val="FootnoteReference"/>
          <w:color w:val="000000" w:themeColor="text1"/>
          <w:sz w:val="24"/>
          <w:szCs w:val="24"/>
        </w:rPr>
        <w:footnoteReference w:id="49"/>
      </w:r>
      <w:r>
        <w:t>; m</w:t>
      </w:r>
      <w:r w:rsidRPr="00CC06F1">
        <w:t xml:space="preserve">obility – </w:t>
      </w:r>
      <w:r>
        <w:t xml:space="preserve">the importance of </w:t>
      </w:r>
      <w:r w:rsidRPr="00CC06F1">
        <w:t>transport in, around and outside houses</w:t>
      </w:r>
      <w:r>
        <w:t xml:space="preserve"> was similarly linked to health and well-being in OAS</w:t>
      </w:r>
      <w:r w:rsidRPr="00CD113B">
        <w:rPr>
          <w:rStyle w:val="FootnoteReference"/>
          <w:color w:val="000000" w:themeColor="text1"/>
          <w:sz w:val="24"/>
          <w:szCs w:val="24"/>
        </w:rPr>
        <w:footnoteReference w:id="50"/>
      </w:r>
      <w:r w:rsidRPr="00CD113B">
        <w:rPr>
          <w:vertAlign w:val="superscript"/>
        </w:rPr>
        <w:t>,</w:t>
      </w:r>
      <w:r w:rsidRPr="00CD113B">
        <w:rPr>
          <w:rStyle w:val="FootnoteReference"/>
          <w:color w:val="000000" w:themeColor="text1"/>
          <w:sz w:val="24"/>
          <w:szCs w:val="24"/>
        </w:rPr>
        <w:footnoteReference w:id="51"/>
      </w:r>
      <w:r w:rsidRPr="00CD113B">
        <w:rPr>
          <w:vertAlign w:val="superscript"/>
        </w:rPr>
        <w:t>,</w:t>
      </w:r>
      <w:r w:rsidRPr="00CD113B">
        <w:rPr>
          <w:rStyle w:val="FootnoteReference"/>
          <w:color w:val="000000" w:themeColor="text1"/>
          <w:sz w:val="24"/>
          <w:szCs w:val="24"/>
        </w:rPr>
        <w:footnoteReference w:id="52"/>
      </w:r>
      <w:r>
        <w:t>.</w:t>
      </w:r>
    </w:p>
    <w:p w:rsidR="0031165C" w:rsidRDefault="0031165C" w:rsidP="00952379">
      <w:pPr>
        <w:pStyle w:val="LSEQuote"/>
      </w:pPr>
      <w:r w:rsidRPr="00A44BA6">
        <w:t>“</w:t>
      </w:r>
      <w:r w:rsidR="00952379" w:rsidRPr="00952379">
        <w:t>These findings suggest a greater need for examining more robust specialist OAS in the areas of health screening, independent living, mental health and social/public transportation</w:t>
      </w:r>
      <w:r w:rsidRPr="00A44BA6">
        <w:t>.”</w:t>
      </w:r>
    </w:p>
    <w:p w:rsidR="00AE3684" w:rsidRDefault="00AE3684" w:rsidP="0031165C">
      <w:r>
        <w:t>H</w:t>
      </w:r>
      <w:r w:rsidRPr="00CC06F1">
        <w:t xml:space="preserve">owever, </w:t>
      </w:r>
      <w:r w:rsidR="00992C39">
        <w:t xml:space="preserve">there were </w:t>
      </w:r>
      <w:r w:rsidRPr="00CC06F1">
        <w:t xml:space="preserve">complicating issues in the literature that need to be addressed, </w:t>
      </w:r>
      <w:r>
        <w:t>which</w:t>
      </w:r>
      <w:r w:rsidRPr="00CC06F1">
        <w:t xml:space="preserve"> include</w:t>
      </w:r>
      <w:r>
        <w:t>d</w:t>
      </w:r>
      <w:r w:rsidRPr="00CC06F1">
        <w:t>:</w:t>
      </w:r>
      <w:r>
        <w:t xml:space="preserve"> o</w:t>
      </w:r>
      <w:r w:rsidRPr="00CC06F1">
        <w:t xml:space="preserve">lder people </w:t>
      </w:r>
      <w:r>
        <w:t>survivi</w:t>
      </w:r>
      <w:r w:rsidRPr="00CC06F1">
        <w:t>ng</w:t>
      </w:r>
      <w:r>
        <w:t xml:space="preserve"> longer into old </w:t>
      </w:r>
      <w:r>
        <w:t>age</w:t>
      </w:r>
      <w:r w:rsidRPr="00CC06F1">
        <w:t xml:space="preserve"> and developing </w:t>
      </w:r>
      <w:r>
        <w:t>sight loss</w:t>
      </w:r>
      <w:r w:rsidRPr="00CC06F1">
        <w:t xml:space="preserve"> and multiple impairments</w:t>
      </w:r>
      <w:r>
        <w:t>, suggesting a greater need for joined up services</w:t>
      </w:r>
      <w:r>
        <w:rPr>
          <w:rStyle w:val="FootnoteReference"/>
          <w:color w:val="000000" w:themeColor="text1"/>
          <w:sz w:val="24"/>
          <w:szCs w:val="24"/>
        </w:rPr>
        <w:footnoteReference w:id="53"/>
      </w:r>
      <w:r>
        <w:t>; i</w:t>
      </w:r>
      <w:r w:rsidRPr="00CC06F1">
        <w:t xml:space="preserve">ssues of </w:t>
      </w:r>
      <w:r>
        <w:t xml:space="preserve">general </w:t>
      </w:r>
      <w:r w:rsidRPr="00CC06F1">
        <w:t xml:space="preserve">health and </w:t>
      </w:r>
      <w:r>
        <w:t xml:space="preserve">psychological </w:t>
      </w:r>
      <w:r w:rsidRPr="00CC06F1">
        <w:t>well-being are becoming more important</w:t>
      </w:r>
      <w:r>
        <w:t>, and the particular mental and physical issues related to OAS, sight loss needs greater appreciation</w:t>
      </w:r>
      <w:r w:rsidRPr="00CD113B">
        <w:rPr>
          <w:rStyle w:val="FootnoteReference"/>
          <w:color w:val="000000" w:themeColor="text1"/>
          <w:sz w:val="24"/>
          <w:szCs w:val="24"/>
        </w:rPr>
        <w:footnoteReference w:id="54"/>
      </w:r>
      <w:r w:rsidRPr="00CD113B">
        <w:rPr>
          <w:vertAlign w:val="superscript"/>
        </w:rPr>
        <w:t>,</w:t>
      </w:r>
      <w:r w:rsidRPr="00CD113B">
        <w:rPr>
          <w:rStyle w:val="FootnoteReference"/>
          <w:color w:val="000000" w:themeColor="text1"/>
          <w:sz w:val="24"/>
          <w:szCs w:val="24"/>
        </w:rPr>
        <w:footnoteReference w:id="55"/>
      </w:r>
      <w:r w:rsidRPr="00CD113B">
        <w:rPr>
          <w:vertAlign w:val="superscript"/>
        </w:rPr>
        <w:t>,</w:t>
      </w:r>
      <w:r w:rsidRPr="00CD113B">
        <w:rPr>
          <w:rStyle w:val="FootnoteReference"/>
          <w:color w:val="000000" w:themeColor="text1"/>
          <w:sz w:val="24"/>
          <w:szCs w:val="24"/>
        </w:rPr>
        <w:footnoteReference w:id="56"/>
      </w:r>
      <w:r w:rsidRPr="00CD113B">
        <w:rPr>
          <w:vertAlign w:val="superscript"/>
        </w:rPr>
        <w:t>,</w:t>
      </w:r>
      <w:r w:rsidRPr="00CD113B">
        <w:rPr>
          <w:rStyle w:val="FootnoteReference"/>
          <w:color w:val="000000" w:themeColor="text1"/>
          <w:sz w:val="24"/>
          <w:szCs w:val="24"/>
        </w:rPr>
        <w:footnoteReference w:id="57"/>
      </w:r>
      <w:r>
        <w:t>; SOA</w:t>
      </w:r>
      <w:r w:rsidRPr="00CC06F1">
        <w:t xml:space="preserve"> will </w:t>
      </w:r>
      <w:r>
        <w:t xml:space="preserve">increasingly </w:t>
      </w:r>
      <w:r w:rsidRPr="00CC06F1">
        <w:t xml:space="preserve">have other health issues related to </w:t>
      </w:r>
      <w:r>
        <w:t xml:space="preserve">their extended </w:t>
      </w:r>
      <w:r w:rsidRPr="00CC06F1">
        <w:t>age</w:t>
      </w:r>
      <w:r>
        <w:t xml:space="preserve"> that need addressing through joined-up services</w:t>
      </w:r>
      <w:r w:rsidRPr="00CD113B">
        <w:rPr>
          <w:rStyle w:val="FootnoteReference"/>
          <w:color w:val="000000" w:themeColor="text1"/>
          <w:sz w:val="24"/>
          <w:szCs w:val="24"/>
        </w:rPr>
        <w:footnoteReference w:id="58"/>
      </w:r>
      <w:r w:rsidRPr="00CD113B">
        <w:rPr>
          <w:vertAlign w:val="superscript"/>
        </w:rPr>
        <w:t>,</w:t>
      </w:r>
      <w:r w:rsidRPr="00CD113B">
        <w:rPr>
          <w:rStyle w:val="FootnoteReference"/>
          <w:color w:val="000000" w:themeColor="text1"/>
          <w:sz w:val="24"/>
          <w:szCs w:val="24"/>
        </w:rPr>
        <w:footnoteReference w:id="59"/>
      </w:r>
      <w:r>
        <w:t>.</w:t>
      </w:r>
    </w:p>
    <w:p w:rsidR="00AE3684" w:rsidRPr="00555F0B" w:rsidRDefault="00AE3684" w:rsidP="00952379">
      <w:r>
        <w:t xml:space="preserve">These findings suggest a greater need for examining more robust specialist OAS in the areas of health screening, independent living, mental health and social/public transportation. </w:t>
      </w:r>
    </w:p>
    <w:p w:rsidR="00AE3684" w:rsidRDefault="00AE3684" w:rsidP="00AE3684">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AE3684" w:rsidRPr="00574624" w:rsidRDefault="000D726E" w:rsidP="0031165C">
      <w:pPr>
        <w:pStyle w:val="Heading"/>
      </w:pPr>
      <w:r>
        <w:lastRenderedPageBreak/>
        <w:t>7</w:t>
      </w:r>
      <w:r w:rsidR="0031165C">
        <w:t xml:space="preserve"> Main </w:t>
      </w:r>
      <w:r w:rsidR="00AE3684">
        <w:t>Discussion</w:t>
      </w:r>
      <w:r>
        <w:t xml:space="preserve"> and</w:t>
      </w:r>
      <w:r w:rsidR="00AE3684">
        <w:t xml:space="preserve"> Recommendations</w:t>
      </w:r>
    </w:p>
    <w:p w:rsidR="00AE3684" w:rsidRPr="00952379" w:rsidRDefault="00AE3684" w:rsidP="00952379">
      <w:pPr>
        <w:ind w:left="720"/>
        <w:rPr>
          <w:i/>
        </w:rPr>
      </w:pPr>
      <w:r w:rsidRPr="00952379">
        <w:rPr>
          <w:i/>
        </w:rPr>
        <w:t>NB: In this final discussion, where I refer to OA alone, I am using this term to refer to both OA and SOA.</w:t>
      </w:r>
    </w:p>
    <w:p w:rsidR="0031165C" w:rsidRDefault="000D726E" w:rsidP="0031165C">
      <w:pPr>
        <w:pStyle w:val="Sub-head"/>
      </w:pPr>
      <w:r>
        <w:t>7</w:t>
      </w:r>
      <w:r w:rsidR="0031165C">
        <w:t>.1 Discussion</w:t>
      </w:r>
    </w:p>
    <w:p w:rsidR="00AE3684" w:rsidRDefault="00AE3684" w:rsidP="0031165C">
      <w:r>
        <w:t>In this final analysis, the hypothesis at the end of phase two is reintroduced, and discussed:</w:t>
      </w:r>
    </w:p>
    <w:p w:rsidR="00AE3684" w:rsidRPr="008107D4" w:rsidRDefault="00AE3684" w:rsidP="0031165C">
      <w:pPr>
        <w:ind w:left="720"/>
        <w:rPr>
          <w:color w:val="000000" w:themeColor="text1"/>
        </w:rPr>
      </w:pPr>
      <w:r w:rsidRPr="002B203C">
        <w:rPr>
          <w:color w:val="000000"/>
        </w:rPr>
        <w:t xml:space="preserve">Apart from independent living skills, few small </w:t>
      </w:r>
      <w:r>
        <w:rPr>
          <w:color w:val="000000"/>
        </w:rPr>
        <w:t>jurisdictions</w:t>
      </w:r>
      <w:r w:rsidRPr="002B203C">
        <w:rPr>
          <w:color w:val="000000"/>
        </w:rPr>
        <w:t xml:space="preserve"> appear to have specialist services for OA, which largely ignores the changing demographics of a growing need for discrete OAS. In addition, services too often appear to be based on institutional tradition rather than targeted needs.</w:t>
      </w:r>
    </w:p>
    <w:p w:rsidR="00AE3684" w:rsidRDefault="00AE3684" w:rsidP="0031165C">
      <w:r>
        <w:t>This hypothesis largely stands true.</w:t>
      </w:r>
    </w:p>
    <w:p w:rsidR="00AE3684" w:rsidRDefault="00AE3684" w:rsidP="0031165C">
      <w:r>
        <w:t>Firstly, in order to understand these services, we also need to understand how associations have evolved, and how this evolution is slow to react to changing events in broader society. Many of the services that could be considered OAS – but are rarely labelled as expressly so - have largely evolved out of traditional services; services these associations have provided for decades if not centuries, and services that were suited to the social conditions of the twentieth century</w:t>
      </w:r>
      <w:r>
        <w:rPr>
          <w:rStyle w:val="FootnoteReference"/>
          <w:sz w:val="24"/>
          <w:szCs w:val="24"/>
        </w:rPr>
        <w:footnoteReference w:id="60"/>
      </w:r>
      <w:r>
        <w:t xml:space="preserve"> – and in some cases the nineteenth century. These associations have done little to take into consideration modern social support and social services and the changing role of families.</w:t>
      </w:r>
    </w:p>
    <w:p w:rsidR="00AE3684" w:rsidRDefault="00AE3684" w:rsidP="0031165C">
      <w:r>
        <w:t>Consequently, a model of service provision often still exists that assumes a family care-giver for older people gaining sight loss is constantly present, and an image of younger people with sight loss needing specialized educational and vocational support. Moreover, this service provision is still designed primarily to relieve financial poverty, and provide separate services for people who live in traditional extended or nuclear families.</w:t>
      </w:r>
    </w:p>
    <w:p w:rsidR="00AE3684" w:rsidRDefault="00AE3684" w:rsidP="0031165C">
      <w:r>
        <w:t xml:space="preserve">For example, Scotland has numerous associations, providing services for different elements of the community with sight loss: RB </w:t>
      </w:r>
      <w:r>
        <w:t>evolved out of the Edinburgh Asylum, and specializes in support for adults with sight loss, as its original role was to support poorer children with sight loss in separate institutions where they could learn a trade; RNIBS provides support for adults and runs care homes, based on a model that evolved from the middle of the nineteenth century and the First World War, where people required separate literacy or were “blinded” service personnel; Guide Dogs primarily provides service animals and support services for adults with early sight loss, based on their history of similar support founded in the 1930s.</w:t>
      </w:r>
    </w:p>
    <w:p w:rsidR="00AE3684" w:rsidRDefault="00AE3684" w:rsidP="0031165C">
      <w:r>
        <w:t>In this respect, OAS in the jurisdictions surveyed were not “nimble” enough to evolve to an increasingly older population who frequently spurn institutionalized service provision. Instead, OAS provision often overlaps and becomes confused, associations compete for clients and resources, and OA and their families often do not know who to turn to when they lose their sight.</w:t>
      </w:r>
    </w:p>
    <w:p w:rsidR="00AE3684" w:rsidRDefault="00AE3684" w:rsidP="0031165C">
      <w:r>
        <w:t>Conversely, it can be argued that NCBI and other smaller jurisdictions with a single association have the advantage that they are closer to their clients and are a one-stop-shop for OAS. However, this advantage should not be taken for granted as there is still a need for joined-up services for those who do not fit other traditional models of OAS, and need to respond to the changing demographics of OA both nationally and regionally.</w:t>
      </w:r>
    </w:p>
    <w:p w:rsidR="00AE3684" w:rsidRDefault="00AE3684" w:rsidP="0031165C">
      <w:r>
        <w:t>Secondly, the survey of associations shows these associations are largely unable to differentiate between different communities of people with vision loss, and the notion of multiple or dual impairment. For instance, many associations were developed on an understanding that service provision should be focused on people with early sight loss or whose main impairment was sight loss, and should receive lifelong institutional support for sight loss.</w:t>
      </w:r>
    </w:p>
    <w:p w:rsidR="00AE3684" w:rsidRDefault="00AE3684" w:rsidP="0031165C">
      <w:r>
        <w:t xml:space="preserve">Subsequently, associations seem to find it harder to come to terms with the needs of sudden sight loss, multiple or dual </w:t>
      </w:r>
      <w:r>
        <w:lastRenderedPageBreak/>
        <w:t>impairments – particularly where sight loss is the “lesser” impairment – sight loss in much later life and the mental health issues that arise as a result of sight loss. In these circumstances, it simply appears from the information provided by associations on their websites that OA are referred in this instance to the association of their “strongest” impairment. Given the increasing likelihood of OA having more than one impairment, the chance of OA not having all their needs supported is thus increased.</w:t>
      </w:r>
    </w:p>
    <w:p w:rsidR="00AE3684" w:rsidRDefault="00AE3684" w:rsidP="0031165C">
      <w:r>
        <w:t xml:space="preserve">In addition, associations appear to find it hard to adjust to the changing nature of families’ and governments’ provision of support, and the changing model of nuclear and extended families decreasingly looking after relatives with sight loss; or, the needs of the remaining carer as the only care provider and needing support that could traditionally be provided by an extended family. For instance, a number of associations had little provision for single people who lived alone and could not travel to centres, or in some circumstances – although admittedly less frequently – associations relied on residential homes to support single OA with vision loss. </w:t>
      </w:r>
    </w:p>
    <w:p w:rsidR="00AE3684" w:rsidRDefault="00AE3684" w:rsidP="0031165C">
      <w:r>
        <w:t>Thirdly, technological, information and literary provision in OAS often still referred to an older model of separate assistive technologies rather than inclusive technologies</w:t>
      </w:r>
      <w:r>
        <w:rPr>
          <w:rStyle w:val="FootnoteReference"/>
          <w:sz w:val="24"/>
          <w:szCs w:val="24"/>
        </w:rPr>
        <w:footnoteReference w:id="61"/>
      </w:r>
      <w:r>
        <w:t>, and Brailed/audio rather than largely electronic libraries. For instance, almost all associations had libraries whose core collections were recorded by sighted people or Braille. Very little of this literature was in digital format, although admittedly this proportion was growing.</w:t>
      </w:r>
    </w:p>
    <w:p w:rsidR="00AE3684" w:rsidRDefault="00AE3684" w:rsidP="0031165C">
      <w:r>
        <w:t xml:space="preserve">Furthermore, it was found that services too often promoted technologies and well-being that were too often insensitive to the needs of OA, and particularly SOA who frequently did not take up services. Furthermore, in terms of well-being – both physical and mental – the consideration of specialist physical and mental health issues around multiple impairments and SOA’s social and cultural needs often seem to be unconsidered. Subsequently, there is also little emphasis on OAS that relate to practical </w:t>
      </w:r>
      <w:r>
        <w:t>issues of independent living and re-education, as the SOA population increases and there is an emphasis on issues of general health and well-being.</w:t>
      </w:r>
    </w:p>
    <w:p w:rsidR="0031165C" w:rsidRDefault="0031165C" w:rsidP="00952379">
      <w:pPr>
        <w:pStyle w:val="LSEQuote"/>
      </w:pPr>
      <w:r w:rsidRPr="00A44BA6">
        <w:t>“</w:t>
      </w:r>
      <w:r w:rsidR="00952379" w:rsidRPr="00952379">
        <w:t>Firstly, in order to understand these services, we also need to understand how associations have evolved, and how this evolution is slow to react to changing events in broader society</w:t>
      </w:r>
      <w:r w:rsidRPr="00A44BA6">
        <w:t>.”</w:t>
      </w:r>
    </w:p>
    <w:p w:rsidR="00AE3684" w:rsidRDefault="00AE3684" w:rsidP="0031165C">
      <w:pPr>
        <w:rPr>
          <w:b/>
          <w:color w:val="FF0000"/>
        </w:rPr>
      </w:pPr>
      <w:r>
        <w:t xml:space="preserve">Fourthly, local needs are very different from the needs of whole jurisdictions, and the need to differentiate services according to urban and rural populations in particular is rarely considered by associations. This was illustrated most clearly in the survey of associations who all but OAS for New Zealand’s first-nations population provided largely generic services, with little advertised consideration for mobility or care within the home. Admittedly, families were mentioned in the information provided by associations, however there was also little consideration given to the isolation of family members in geographically isolated areas. </w:t>
      </w:r>
    </w:p>
    <w:p w:rsidR="00AE3684" w:rsidRPr="00842C7C" w:rsidRDefault="00AE3684" w:rsidP="0031165C">
      <w:pPr>
        <w:rPr>
          <w:color w:val="000000" w:themeColor="text1"/>
        </w:rPr>
      </w:pPr>
      <w:r>
        <w:rPr>
          <w:color w:val="000000" w:themeColor="text1"/>
        </w:rPr>
        <w:t>Fifthly, there is little consideration given by associations or the academic literature to adults who do not fit the model of OA, and fall within a “gray area” of not working before retirement age or working after retirement age. For instance, with increasing numbers of OA undertaking paid and unpaid work there is little consideration given to supporting these adults after they pass the age of retirement. Similarly, associations infrequently considered adults who have been institutionalized or who left the labour market early because of ill health or early-retirement and may need OAS before they become OA.</w:t>
      </w:r>
    </w:p>
    <w:p w:rsidR="00952379" w:rsidRDefault="00952379">
      <w:pPr>
        <w:rPr>
          <w:rFonts w:ascii="Roboto" w:eastAsia="Roboto" w:hAnsi="Roboto" w:cs="Roboto"/>
          <w:b/>
          <w:bCs/>
          <w:color w:val="1A1918"/>
        </w:rPr>
      </w:pPr>
      <w:r>
        <w:br w:type="page"/>
      </w:r>
    </w:p>
    <w:p w:rsidR="00AE3684" w:rsidRPr="00327177" w:rsidRDefault="000D726E" w:rsidP="0031165C">
      <w:pPr>
        <w:pStyle w:val="Sub-head"/>
      </w:pPr>
      <w:r>
        <w:lastRenderedPageBreak/>
        <w:t>7</w:t>
      </w:r>
      <w:r w:rsidR="0031165C">
        <w:t xml:space="preserve">.2 </w:t>
      </w:r>
      <w:r w:rsidR="00AE3684" w:rsidRPr="0037565F">
        <w:t>Recommendations for Future Action</w:t>
      </w:r>
    </w:p>
    <w:p w:rsidR="00AE3684" w:rsidRDefault="00AE3684" w:rsidP="0031165C">
      <w:r>
        <w:t>Given these general findings, it appears that as NCBI moves into a life-course model its OAS providers need to consider moving beyond simply adapting its current services to considering future plans. In particular, it is advised that six issues need to be addressed in the mid to long term future:</w:t>
      </w:r>
    </w:p>
    <w:p w:rsidR="00AE3684" w:rsidRDefault="00AE3684" w:rsidP="001E0161">
      <w:pPr>
        <w:pStyle w:val="ListParagraph"/>
        <w:numPr>
          <w:ilvl w:val="0"/>
          <w:numId w:val="9"/>
        </w:numPr>
      </w:pPr>
      <w:r w:rsidRPr="000D28B2">
        <w:t>There is a greater need for joined up services, and NCBI needs to consider formalizing its relationship with associations and agencies that provide parallel services for OA with more than one disability</w:t>
      </w:r>
      <w:r>
        <w:t xml:space="preserve"> and health-care providers</w:t>
      </w:r>
      <w:r w:rsidRPr="000D28B2">
        <w:t xml:space="preserve">. NCBI and similar </w:t>
      </w:r>
      <w:r>
        <w:t xml:space="preserve">Irish </w:t>
      </w:r>
      <w:r w:rsidRPr="000D28B2">
        <w:t xml:space="preserve">agencies must also consider that clients’ </w:t>
      </w:r>
      <w:r>
        <w:t>sight loss</w:t>
      </w:r>
      <w:r w:rsidRPr="000D28B2">
        <w:t xml:space="preserve"> may not be their most significant impairment, and that the social debilitation from more pernicious impairments may have a greater effect on their well-being.</w:t>
      </w:r>
    </w:p>
    <w:p w:rsidR="00AE3684" w:rsidRDefault="00AE3684" w:rsidP="001E0161">
      <w:pPr>
        <w:pStyle w:val="ListParagraph"/>
        <w:numPr>
          <w:ilvl w:val="0"/>
          <w:numId w:val="9"/>
        </w:numPr>
      </w:pPr>
      <w:r>
        <w:t>NCBI needs to re-consider how it provides OAS in rural areas, particularly those on its western coast and close to its border areas, where its clients’ ability to travel independently are reduced. The social and cultural isolation that can exist in such areas is a particular threat to well-being and also effects the family life of the potential carers as well as the clients themselves.</w:t>
      </w:r>
    </w:p>
    <w:p w:rsidR="00AE3684" w:rsidRDefault="00AE3684" w:rsidP="001E0161">
      <w:pPr>
        <w:pStyle w:val="ListParagraph"/>
        <w:numPr>
          <w:ilvl w:val="0"/>
          <w:numId w:val="9"/>
        </w:numPr>
      </w:pPr>
      <w:r>
        <w:t>NCBI needs to consider having a flexible age for OAS, that exists within a “gray area” of chronological age. As noted in the discussion, people may age or need OAS later or earlier than 65 years – and some people may also remain in the labour force after the age of retirement. Having too rigid an approach to OAS or working age adult services may exclude people who could otherwise benefit from such services.</w:t>
      </w:r>
    </w:p>
    <w:p w:rsidR="00AE3684" w:rsidRDefault="00AE3684" w:rsidP="001E0161">
      <w:pPr>
        <w:pStyle w:val="ListParagraph"/>
        <w:numPr>
          <w:ilvl w:val="0"/>
          <w:numId w:val="9"/>
        </w:numPr>
      </w:pPr>
      <w:r>
        <w:t>NCBI will need to take account of the mental health issues of its increasing OA population. In particular, it needs to be understood there will be areas of stress that require more support, such as: the transition from being a sighted person to being a person with sight loss in older age, suffering ill physical health in older age, coming to terms with retirement and the social networks this provides or being largely alone in geographically isolated communities.</w:t>
      </w:r>
    </w:p>
    <w:p w:rsidR="00AE3684" w:rsidRDefault="00AE3684" w:rsidP="001E0161">
      <w:pPr>
        <w:pStyle w:val="ListParagraph"/>
        <w:numPr>
          <w:ilvl w:val="0"/>
          <w:numId w:val="9"/>
        </w:numPr>
      </w:pPr>
      <w:r>
        <w:t>NCBI needs to investigate the lack of service take-up by older adults. As of yet, little literature from jurisdictions similar to Ireland highlight this lack OAS take-up. However, there appears to be a disparity between people recorded as having sight loss in the Irish Census data, and people who regularly take up services by NCBI. Considering some OA may not want services, it is possible some OA are not being referred to NCBI or are not aware of the services available. Therefore, information provision about OAS needs to be considered further.</w:t>
      </w:r>
    </w:p>
    <w:p w:rsidR="00C570FD" w:rsidRPr="00A44BA6" w:rsidRDefault="00AE3684" w:rsidP="00C570FD">
      <w:pPr>
        <w:pStyle w:val="ListParagraph"/>
        <w:numPr>
          <w:ilvl w:val="0"/>
          <w:numId w:val="9"/>
        </w:numPr>
      </w:pPr>
      <w:r>
        <w:t>Finally, a system of continual monitoring of the demographic changes in the OA population should be considered. At the moment, there is a “broad brush” approach to OAS, meaning that the same services are provided in large urban areas and rural areas, and inefficiencies are more likely. NCBI many need to consider providing differentiated services based on consistent and reliable data, and make its services evidence based.</w:t>
      </w:r>
    </w:p>
    <w:p w:rsidR="008224C3" w:rsidRDefault="00A73334" w:rsidP="000D726E">
      <w:pPr>
        <w:pStyle w:val="LSEQuote"/>
        <w:sectPr w:rsidR="008224C3" w:rsidSect="007E761E">
          <w:pgSz w:w="11910" w:h="16840"/>
          <w:pgMar w:top="2268" w:right="1134" w:bottom="1134" w:left="1134" w:header="907" w:footer="720" w:gutter="0"/>
          <w:cols w:num="2" w:space="567"/>
          <w:docGrid w:linePitch="299"/>
        </w:sectPr>
      </w:pPr>
      <w:r w:rsidRPr="00A44BA6">
        <w:t>“</w:t>
      </w:r>
      <w:r w:rsidR="00952379" w:rsidRPr="00952379">
        <w:t>Given these general findings, it appears that as NCBI moves into a life-course model its OAS providers need to consider moving beyond simply adapting its current services to considering future plans</w:t>
      </w:r>
      <w:r w:rsidRPr="00A44BA6">
        <w:t>.</w:t>
      </w:r>
      <w:r w:rsidR="00F26B3F">
        <w:t>”</w:t>
      </w:r>
    </w:p>
    <w:p w:rsidR="00C70672" w:rsidRDefault="0088445A" w:rsidP="008C3B3C">
      <w:pPr>
        <w:pStyle w:val="Backcover-address"/>
        <w:rPr>
          <w:sz w:val="14"/>
        </w:rPr>
      </w:pPr>
      <w:r>
        <w:rPr>
          <w:noProof/>
        </w:rPr>
        <w:lastRenderedPageBreak/>
        <mc:AlternateContent>
          <mc:Choice Requires="wps">
            <w:drawing>
              <wp:anchor distT="0" distB="0" distL="114300" distR="114300" simplePos="0" relativeHeight="251679744" behindDoc="0" locked="0" layoutInCell="1" allowOverlap="1">
                <wp:simplePos x="0" y="0"/>
                <wp:positionH relativeFrom="column">
                  <wp:posOffset>-80856</wp:posOffset>
                </wp:positionH>
                <wp:positionV relativeFrom="paragraph">
                  <wp:posOffset>3457786</wp:posOffset>
                </wp:positionV>
                <wp:extent cx="3985200" cy="5130000"/>
                <wp:effectExtent l="0" t="0" r="3175" b="1270"/>
                <wp:wrapNone/>
                <wp:docPr id="2" name="Text Box 2"/>
                <wp:cNvGraphicFramePr/>
                <a:graphic xmlns:a="http://schemas.openxmlformats.org/drawingml/2006/main">
                  <a:graphicData uri="http://schemas.microsoft.com/office/word/2010/wordprocessingShape">
                    <wps:wsp>
                      <wps:cNvSpPr txBox="1"/>
                      <wps:spPr>
                        <a:xfrm>
                          <a:off x="0" y="0"/>
                          <a:ext cx="3985200" cy="5130000"/>
                        </a:xfrm>
                        <a:prstGeom prst="rect">
                          <a:avLst/>
                        </a:prstGeom>
                        <a:noFill/>
                        <a:ln w="6350">
                          <a:noFill/>
                        </a:ln>
                      </wps:spPr>
                      <wps:txbx>
                        <w:txbxContent>
                          <w:p w:rsidR="00AE3684" w:rsidRPr="00130196" w:rsidRDefault="00AE3684" w:rsidP="0088445A">
                            <w:pPr>
                              <w:pStyle w:val="Backcover-address"/>
                            </w:pPr>
                            <w:r>
                              <w:t>Centre for the Philosophy of Natural and Social Science</w:t>
                            </w:r>
                            <w:r>
                              <w:br/>
                              <w:t xml:space="preserve">The </w:t>
                            </w:r>
                            <w:r w:rsidRPr="00130196">
                              <w:t>London School of Economics</w:t>
                            </w:r>
                            <w:r>
                              <w:br/>
                              <w:t xml:space="preserve">and </w:t>
                            </w:r>
                            <w:r w:rsidRPr="00130196">
                              <w:t xml:space="preserve">Political Science </w:t>
                            </w:r>
                            <w:r>
                              <w:br/>
                            </w:r>
                            <w:r w:rsidRPr="00130196">
                              <w:t>Houghton Street</w:t>
                            </w:r>
                            <w:r>
                              <w:br/>
                            </w:r>
                            <w:r w:rsidRPr="00130196">
                              <w:t>London WC2A 2AE</w:t>
                            </w:r>
                          </w:p>
                          <w:p w:rsidR="00AE3684" w:rsidRDefault="00AE3684" w:rsidP="0088445A">
                            <w:pPr>
                              <w:pStyle w:val="BodyText"/>
                              <w:spacing w:before="80" w:line="240" w:lineRule="exact"/>
                            </w:pPr>
                            <w:r>
                              <w:rPr>
                                <w:rFonts w:ascii="Roboto"/>
                                <w:b/>
                                <w:color w:val="FFFFFF"/>
                              </w:rPr>
                              <w:t xml:space="preserve">Email: </w:t>
                            </w:r>
                            <w:hyperlink r:id="rId32" w:history="1">
                              <w:r w:rsidRPr="001233D1">
                                <w:rPr>
                                  <w:rStyle w:val="Hyperlink"/>
                                </w:rPr>
                                <w:t>s.hayhoe@lse.ac.uk</w:t>
                              </w:r>
                            </w:hyperlink>
                          </w:p>
                          <w:p w:rsidR="00AE3684" w:rsidRDefault="00AE3684" w:rsidP="0088445A">
                            <w:pPr>
                              <w:pStyle w:val="Backcover-Bold"/>
                              <w:spacing w:after="800"/>
                            </w:pPr>
                          </w:p>
                          <w:p w:rsidR="00AE3684" w:rsidRDefault="00292C14" w:rsidP="0088445A">
                            <w:pPr>
                              <w:spacing w:before="93" w:after="1200"/>
                              <w:rPr>
                                <w:rFonts w:ascii="Roboto"/>
                                <w:b/>
                                <w:sz w:val="30"/>
                              </w:rPr>
                            </w:pPr>
                            <w:r w:rsidRPr="00292C14">
                              <w:rPr>
                                <w:rFonts w:ascii="Roboto"/>
                                <w:b/>
                                <w:color w:val="FFFFFF"/>
                                <w:sz w:val="30"/>
                              </w:rPr>
                              <w:t>lse.ac.uk/</w:t>
                            </w:r>
                            <w:proofErr w:type="spellStart"/>
                            <w:r w:rsidRPr="00292C14">
                              <w:rPr>
                                <w:rFonts w:ascii="Roboto"/>
                                <w:b/>
                                <w:color w:val="FFFFFF"/>
                                <w:sz w:val="30"/>
                              </w:rPr>
                              <w:t>cpnss</w:t>
                            </w:r>
                            <w:proofErr w:type="spellEnd"/>
                            <w:r w:rsidRPr="00292C14">
                              <w:rPr>
                                <w:rFonts w:ascii="Roboto"/>
                                <w:b/>
                                <w:color w:val="FFFFFF"/>
                                <w:sz w:val="30"/>
                              </w:rPr>
                              <w:t>/people/</w:t>
                            </w:r>
                            <w:proofErr w:type="spellStart"/>
                            <w:r w:rsidRPr="00292C14">
                              <w:rPr>
                                <w:rFonts w:ascii="Roboto"/>
                                <w:b/>
                                <w:color w:val="FFFFFF"/>
                                <w:sz w:val="30"/>
                              </w:rPr>
                              <w:t>simon-hayhoe</w:t>
                            </w:r>
                            <w:proofErr w:type="spellEnd"/>
                          </w:p>
                          <w:p w:rsidR="00AE3684" w:rsidRPr="00AC4C24" w:rsidRDefault="00AE3684" w:rsidP="0088445A">
                            <w:pPr>
                              <w:spacing w:after="160" w:line="270" w:lineRule="exact"/>
                              <w:rPr>
                                <w:color w:val="FFFFFF" w:themeColor="background1"/>
                                <w:sz w:val="20"/>
                                <w:szCs w:val="20"/>
                              </w:rPr>
                            </w:pPr>
                            <w:r w:rsidRPr="00AC4C24">
                              <w:rPr>
                                <w:color w:val="FFFFFF" w:themeColor="background1"/>
                                <w:sz w:val="20"/>
                                <w:szCs w:val="20"/>
                              </w:rPr>
                              <w:t xml:space="preserve">The information in this brochure can be made available in alternative formats, on request. Please contact: </w:t>
                            </w:r>
                            <w:hyperlink r:id="rId33" w:history="1">
                              <w:r w:rsidRPr="001233D1">
                                <w:rPr>
                                  <w:rStyle w:val="Hyperlink"/>
                                  <w:sz w:val="20"/>
                                  <w:szCs w:val="20"/>
                                </w:rPr>
                                <w:t>s.hayhoe@lse.ac.uk</w:t>
                              </w:r>
                            </w:hyperlink>
                          </w:p>
                          <w:p w:rsidR="00AE3684" w:rsidRDefault="00AE3684" w:rsidP="0088445A">
                            <w:pPr>
                              <w:spacing w:after="120" w:line="180" w:lineRule="exact"/>
                              <w:rPr>
                                <w:color w:val="FFFFFF"/>
                                <w:sz w:val="14"/>
                              </w:rPr>
                            </w:pPr>
                            <w:r w:rsidRPr="000146D6">
                              <w:rPr>
                                <w:color w:val="FFFFFF"/>
                                <w:sz w:val="14"/>
                              </w:rPr>
                              <w:t xml:space="preserve">The London School of Economics and Political Science is a School of the University of London. </w:t>
                            </w:r>
                            <w:r>
                              <w:rPr>
                                <w:color w:val="FFFFFF"/>
                                <w:sz w:val="14"/>
                              </w:rPr>
                              <w:br/>
                            </w:r>
                            <w:r w:rsidRPr="000146D6">
                              <w:rPr>
                                <w:color w:val="FFFFFF"/>
                                <w:sz w:val="14"/>
                              </w:rPr>
                              <w:t xml:space="preserve">It is a charity and is incorporated in England as a company limited by guarantee under the Companies Acts (Reg no 70527). </w:t>
                            </w:r>
                          </w:p>
                          <w:p w:rsidR="00AE3684" w:rsidRDefault="00AE3684" w:rsidP="0088445A">
                            <w:pPr>
                              <w:spacing w:after="120" w:line="180" w:lineRule="exact"/>
                              <w:rPr>
                                <w:color w:val="FFFFFF"/>
                                <w:sz w:val="14"/>
                              </w:rPr>
                            </w:pPr>
                            <w:r w:rsidRPr="000146D6">
                              <w:rPr>
                                <w:color w:val="FFFFFF"/>
                                <w:sz w:val="14"/>
                              </w:rPr>
                              <w:t xml:space="preserve">The School seeks to ensure that people are treated equitably, regardless of age, disability, race, nationality, ethnic or national origin, gender, religion, sexual orientation or personal circumstances. </w:t>
                            </w:r>
                          </w:p>
                          <w:p w:rsidR="00AE3684" w:rsidRPr="00AC4C24" w:rsidRDefault="00AE3684" w:rsidP="0088445A">
                            <w:pPr>
                              <w:spacing w:after="120" w:line="180" w:lineRule="exact"/>
                              <w:rPr>
                                <w:color w:val="FFFFFF"/>
                                <w:sz w:val="14"/>
                              </w:rPr>
                            </w:pPr>
                            <w:r w:rsidRPr="000146D6">
                              <w:rPr>
                                <w:color w:val="FFFFFF"/>
                                <w:sz w:val="14"/>
                              </w:rPr>
                              <w:t>Design: LSE Design Unit (lse.ac.uk/</w:t>
                            </w:r>
                            <w:proofErr w:type="spellStart"/>
                            <w:r w:rsidRPr="000146D6">
                              <w:rPr>
                                <w:color w:val="FFFFFF"/>
                                <w:sz w:val="14"/>
                              </w:rPr>
                              <w:t>designunit</w:t>
                            </w:r>
                            <w:proofErr w:type="spellEnd"/>
                            <w:r w:rsidRPr="000146D6">
                              <w:rPr>
                                <w:color w:val="FFFFFF"/>
                                <w:sz w:val="14"/>
                              </w:rPr>
                              <w:t xml:space="preserve">) </w:t>
                            </w:r>
                            <w:r>
                              <w:rPr>
                                <w:color w:val="FFFFFF"/>
                                <w:sz w:val="14"/>
                              </w:rPr>
                              <w:br/>
                            </w:r>
                            <w:r w:rsidRPr="000146D6">
                              <w:rPr>
                                <w:color w:val="FFFFFF"/>
                                <w:sz w:val="14"/>
                              </w:rPr>
                              <w:t>Photography: Nigel Stead, LSE School Photographer.</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 id="Text Box 2" o:spid="_x0000_s1029" type="#_x0000_t202" style="position:absolute;margin-left:-6.35pt;margin-top:272.25pt;width:313.8pt;height:403.95pt;z-index:25167974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" filled="f" stroked="f" strokeweight=".5pt">
                <v:textbox inset="0,0,0,0">
                  <w:txbxContent>
                    <w:p w:rsidR="00AE3684" w:rsidRPr="00130196" w:rsidRDefault="00AE3684" w:rsidP="0088445A">
                      <w:pPr>
                        <w:pStyle w:val="Backcover-address"/>
                      </w:pPr>
                      <w:r>
                        <w:t>Centre for the Philosophy of Natural and Social Science</w:t>
                      </w:r>
                      <w:r>
                        <w:br/>
                        <w:t xml:space="preserve">The </w:t>
                      </w:r>
                      <w:r w:rsidRPr="00130196">
                        <w:t>London School of Economics</w:t>
                      </w:r>
                      <w:r>
                        <w:br/>
                        <w:t xml:space="preserve">and </w:t>
                      </w:r>
                      <w:r w:rsidRPr="00130196">
                        <w:t xml:space="preserve">Political Science </w:t>
                      </w:r>
                      <w:r>
                        <w:br/>
                      </w:r>
                      <w:r w:rsidRPr="00130196">
                        <w:t>Houghton Street</w:t>
                      </w:r>
                      <w:r>
                        <w:br/>
                      </w:r>
                      <w:r w:rsidRPr="00130196">
                        <w:t>London WC2A 2AE</w:t>
                      </w:r>
                    </w:p>
                    <w:p w:rsidR="00AE3684" w:rsidRDefault="00AE3684" w:rsidP="0088445A">
                      <w:pPr>
                        <w:pStyle w:val="BodyText"/>
                        <w:spacing w:before="80" w:line="240" w:lineRule="exact"/>
                      </w:pPr>
                      <w:r>
                        <w:rPr>
                          <w:rFonts w:ascii="Roboto"/>
                          <w:b/>
                          <w:color w:val="FFFFFF"/>
                        </w:rPr>
                        <w:t xml:space="preserve">Email: </w:t>
                      </w:r>
                      <w:hyperlink r:id="rId34" w:history="1">
                        <w:r w:rsidRPr="001233D1">
                          <w:rPr>
                            <w:rStyle w:val="Hyperlink"/>
                          </w:rPr>
                          <w:t>s.hayhoe@lse.ac.uk</w:t>
                        </w:r>
                      </w:hyperlink>
                    </w:p>
                    <w:p w:rsidR="00AE3684" w:rsidRDefault="00AE3684" w:rsidP="0088445A">
                      <w:pPr>
                        <w:pStyle w:val="Backcover-Bold"/>
                        <w:spacing w:after="800"/>
                      </w:pPr>
                    </w:p>
                    <w:p w:rsidR="00AE3684" w:rsidRDefault="00292C14" w:rsidP="0088445A">
                      <w:pPr>
                        <w:spacing w:before="93" w:after="1200"/>
                        <w:rPr>
                          <w:rFonts w:ascii="Roboto"/>
                          <w:b/>
                          <w:sz w:val="30"/>
                        </w:rPr>
                      </w:pPr>
                      <w:r w:rsidRPr="00292C14">
                        <w:rPr>
                          <w:rFonts w:ascii="Roboto"/>
                          <w:b/>
                          <w:color w:val="FFFFFF"/>
                          <w:sz w:val="30"/>
                        </w:rPr>
                        <w:t>lse.ac.uk/</w:t>
                      </w:r>
                      <w:proofErr w:type="spellStart"/>
                      <w:r w:rsidRPr="00292C14">
                        <w:rPr>
                          <w:rFonts w:ascii="Roboto"/>
                          <w:b/>
                          <w:color w:val="FFFFFF"/>
                          <w:sz w:val="30"/>
                        </w:rPr>
                        <w:t>cpnss</w:t>
                      </w:r>
                      <w:proofErr w:type="spellEnd"/>
                      <w:r w:rsidRPr="00292C14">
                        <w:rPr>
                          <w:rFonts w:ascii="Roboto"/>
                          <w:b/>
                          <w:color w:val="FFFFFF"/>
                          <w:sz w:val="30"/>
                        </w:rPr>
                        <w:t>/people/</w:t>
                      </w:r>
                      <w:proofErr w:type="spellStart"/>
                      <w:r w:rsidRPr="00292C14">
                        <w:rPr>
                          <w:rFonts w:ascii="Roboto"/>
                          <w:b/>
                          <w:color w:val="FFFFFF"/>
                          <w:sz w:val="30"/>
                        </w:rPr>
                        <w:t>simon-hayhoe</w:t>
                      </w:r>
                      <w:bookmarkStart w:id="1" w:name="_GoBack"/>
                      <w:bookmarkEnd w:id="1"/>
                      <w:proofErr w:type="spellEnd"/>
                    </w:p>
                    <w:p w:rsidR="00AE3684" w:rsidRPr="00AC4C24" w:rsidRDefault="00AE3684" w:rsidP="0088445A">
                      <w:pPr>
                        <w:spacing w:after="160" w:line="270" w:lineRule="exact"/>
                        <w:rPr>
                          <w:color w:val="FFFFFF" w:themeColor="background1"/>
                          <w:sz w:val="20"/>
                          <w:szCs w:val="20"/>
                        </w:rPr>
                      </w:pPr>
                      <w:r w:rsidRPr="00AC4C24">
                        <w:rPr>
                          <w:color w:val="FFFFFF" w:themeColor="background1"/>
                          <w:sz w:val="20"/>
                          <w:szCs w:val="20"/>
                        </w:rPr>
                        <w:t xml:space="preserve">The information in this brochure can be made available in alternative formats, on request. Please contact: </w:t>
                      </w:r>
                      <w:hyperlink r:id="rId35" w:history="1">
                        <w:r w:rsidRPr="001233D1">
                          <w:rPr>
                            <w:rStyle w:val="Hyperlink"/>
                            <w:sz w:val="20"/>
                            <w:szCs w:val="20"/>
                          </w:rPr>
                          <w:t>s.hayhoe@lse.ac.uk</w:t>
                        </w:r>
                      </w:hyperlink>
                    </w:p>
                    <w:p w:rsidR="00AE3684" w:rsidRDefault="00AE3684" w:rsidP="0088445A">
                      <w:pPr>
                        <w:spacing w:after="120" w:line="180" w:lineRule="exact"/>
                        <w:rPr>
                          <w:color w:val="FFFFFF"/>
                          <w:sz w:val="14"/>
                        </w:rPr>
                      </w:pPr>
                      <w:r w:rsidRPr="000146D6">
                        <w:rPr>
                          <w:color w:val="FFFFFF"/>
                          <w:sz w:val="14"/>
                        </w:rPr>
                        <w:t xml:space="preserve">The London School of Economics and Political Science is a School of the University of London. </w:t>
                      </w:r>
                      <w:r>
                        <w:rPr>
                          <w:color w:val="FFFFFF"/>
                          <w:sz w:val="14"/>
                        </w:rPr>
                        <w:br/>
                      </w:r>
                      <w:r w:rsidRPr="000146D6">
                        <w:rPr>
                          <w:color w:val="FFFFFF"/>
                          <w:sz w:val="14"/>
                        </w:rPr>
                        <w:t xml:space="preserve">It is a charity and is incorporated in England as a company limited by guarantee under the Companies Acts (Reg no 70527). </w:t>
                      </w:r>
                    </w:p>
                    <w:p w:rsidR="00AE3684" w:rsidRDefault="00AE3684" w:rsidP="0088445A">
                      <w:pPr>
                        <w:spacing w:after="120" w:line="180" w:lineRule="exact"/>
                        <w:rPr>
                          <w:color w:val="FFFFFF"/>
                          <w:sz w:val="14"/>
                        </w:rPr>
                      </w:pPr>
                      <w:r w:rsidRPr="000146D6">
                        <w:rPr>
                          <w:color w:val="FFFFFF"/>
                          <w:sz w:val="14"/>
                        </w:rPr>
                        <w:t xml:space="preserve">The School seeks to ensure that people are treated equitably, regardless of age, disability, race, nationality, ethnic or national origin, gender, religion, sexual orientation or personal circumstances. </w:t>
                      </w:r>
                    </w:p>
                    <w:p w:rsidR="00AE3684" w:rsidRPr="00AC4C24" w:rsidRDefault="00AE3684" w:rsidP="0088445A">
                      <w:pPr>
                        <w:spacing w:after="120" w:line="180" w:lineRule="exact"/>
                        <w:rPr>
                          <w:color w:val="FFFFFF"/>
                          <w:sz w:val="14"/>
                        </w:rPr>
                      </w:pPr>
                      <w:r w:rsidRPr="000146D6">
                        <w:rPr>
                          <w:color w:val="FFFFFF"/>
                          <w:sz w:val="14"/>
                        </w:rPr>
                        <w:t>Design: LSE Design Unit (lse.ac.uk/</w:t>
                      </w:r>
                      <w:proofErr w:type="spellStart"/>
                      <w:r w:rsidRPr="000146D6">
                        <w:rPr>
                          <w:color w:val="FFFFFF"/>
                          <w:sz w:val="14"/>
                        </w:rPr>
                        <w:t>designunit</w:t>
                      </w:r>
                      <w:proofErr w:type="spellEnd"/>
                      <w:r w:rsidRPr="000146D6">
                        <w:rPr>
                          <w:color w:val="FFFFFF"/>
                          <w:sz w:val="14"/>
                        </w:rPr>
                        <w:t xml:space="preserve">) </w:t>
                      </w:r>
                      <w:r>
                        <w:rPr>
                          <w:color w:val="FFFFFF"/>
                          <w:sz w:val="14"/>
                        </w:rPr>
                        <w:br/>
                      </w:r>
                      <w:r w:rsidRPr="000146D6">
                        <w:rPr>
                          <w:color w:val="FFFFFF"/>
                          <w:sz w:val="14"/>
                        </w:rPr>
                        <w:t>Photography: Nigel Stead, LSE School Photographer.</w:t>
                      </w:r>
                    </w:p>
                  </w:txbxContent>
                </v:textbox>
              </v:shape>
            </w:pict>
          </mc:Fallback>
        </mc:AlternateContent>
      </w:r>
      <w:r>
        <w:rPr>
          <w:noProof/>
        </w:rPr>
        <w:drawing>
          <wp:anchor distT="0" distB="0" distL="114300" distR="114300" simplePos="0" relativeHeight="251680768" behindDoc="0" locked="0" layoutInCell="1" allowOverlap="1">
            <wp:simplePos x="0" y="0"/>
            <wp:positionH relativeFrom="column">
              <wp:posOffset>-80856</wp:posOffset>
            </wp:positionH>
            <wp:positionV relativeFrom="paragraph">
              <wp:posOffset>6404186</wp:posOffset>
            </wp:positionV>
            <wp:extent cx="177800" cy="144145"/>
            <wp:effectExtent l="0" t="0" r="0" b="0"/>
            <wp:wrapNone/>
            <wp:docPr id="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9.png"/>
                    <pic:cNvPicPr>
                      <a:picLocks noChangeAspect="1"/>
                    </pic:cNvPicPr>
                  </pic:nvPicPr>
                  <pic:blipFill>
                    <a:blip r:embed="rId36" cstate="print"/>
                    <a:stretch>
                      <a:fillRect/>
                    </a:stretch>
                  </pic:blipFill>
                  <pic:spPr>
                    <a:xfrm>
                      <a:off x="0" y="0"/>
                      <a:ext cx="177800" cy="144145"/>
                    </a:xfrm>
                    <a:prstGeom prst="rect">
                      <a:avLst/>
                    </a:prstGeom>
                  </pic:spPr>
                </pic:pic>
              </a:graphicData>
            </a:graphic>
          </wp:anchor>
        </w:drawing>
      </w:r>
      <w:r>
        <w:rPr>
          <w:noProof/>
        </w:rPr>
        <w:drawing>
          <wp:anchor distT="0" distB="0" distL="114300" distR="114300" simplePos="0" relativeHeight="251681792" behindDoc="0" locked="0" layoutInCell="1" allowOverlap="1">
            <wp:simplePos x="0" y="0"/>
            <wp:positionH relativeFrom="column">
              <wp:posOffset>173144</wp:posOffset>
            </wp:positionH>
            <wp:positionV relativeFrom="paragraph">
              <wp:posOffset>6404186</wp:posOffset>
            </wp:positionV>
            <wp:extent cx="144145" cy="144145"/>
            <wp:effectExtent l="0" t="0" r="0" b="0"/>
            <wp:wrapNone/>
            <wp:docPr id="1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0.png"/>
                    <pic:cNvPicPr>
                      <a:picLocks noChangeAspect="1"/>
                    </pic:cNvPicPr>
                  </pic:nvPicPr>
                  <pic:blipFill>
                    <a:blip r:embed="rId37" cstate="print"/>
                    <a:stretch>
                      <a:fillRect/>
                    </a:stretch>
                  </pic:blipFill>
                  <pic:spPr>
                    <a:xfrm>
                      <a:off x="0" y="0"/>
                      <a:ext cx="144145" cy="144145"/>
                    </a:xfrm>
                    <a:prstGeom prst="rect">
                      <a:avLst/>
                    </a:prstGeom>
                  </pic:spPr>
                </pic:pic>
              </a:graphicData>
            </a:graphic>
          </wp:anchor>
        </w:drawing>
      </w:r>
      <w:r>
        <w:rPr>
          <w:noProof/>
        </w:rPr>
        <w:drawing>
          <wp:anchor distT="0" distB="0" distL="114300" distR="114300" simplePos="0" relativeHeight="251682816" behindDoc="0" locked="0" layoutInCell="1" allowOverlap="1">
            <wp:simplePos x="0" y="0"/>
            <wp:positionH relativeFrom="column">
              <wp:posOffset>393277</wp:posOffset>
            </wp:positionH>
            <wp:positionV relativeFrom="paragraph">
              <wp:posOffset>6404186</wp:posOffset>
            </wp:positionV>
            <wp:extent cx="144145" cy="144145"/>
            <wp:effectExtent l="0" t="0" r="0" b="0"/>
            <wp:wrapNone/>
            <wp:docPr id="13"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31.png"/>
                    <pic:cNvPicPr>
                      <a:picLocks noChangeAspect="1"/>
                    </pic:cNvPicPr>
                  </pic:nvPicPr>
                  <pic:blipFill>
                    <a:blip r:embed="rId38" cstate="print"/>
                    <a:stretch>
                      <a:fillRect/>
                    </a:stretch>
                  </pic:blipFill>
                  <pic:spPr>
                    <a:xfrm>
                      <a:off x="0" y="0"/>
                      <a:ext cx="144145" cy="144145"/>
                    </a:xfrm>
                    <a:prstGeom prst="rect">
                      <a:avLst/>
                    </a:prstGeom>
                  </pic:spPr>
                </pic:pic>
              </a:graphicData>
            </a:graphic>
          </wp:anchor>
        </w:drawing>
      </w:r>
      <w:r>
        <w:rPr>
          <w:noProof/>
        </w:rPr>
        <w:drawing>
          <wp:anchor distT="0" distB="0" distL="114300" distR="114300" simplePos="0" relativeHeight="251683840" behindDoc="0" locked="0" layoutInCell="1" allowOverlap="1">
            <wp:simplePos x="0" y="0"/>
            <wp:positionH relativeFrom="column">
              <wp:posOffset>613410</wp:posOffset>
            </wp:positionH>
            <wp:positionV relativeFrom="paragraph">
              <wp:posOffset>6404186</wp:posOffset>
            </wp:positionV>
            <wp:extent cx="144145" cy="144145"/>
            <wp:effectExtent l="0" t="0" r="0" b="0"/>
            <wp:wrapNone/>
            <wp:docPr id="1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2.png"/>
                    <pic:cNvPicPr>
                      <a:picLocks noChangeAspect="1"/>
                    </pic:cNvPicPr>
                  </pic:nvPicPr>
                  <pic:blipFill>
                    <a:blip r:embed="rId39" cstate="print"/>
                    <a:stretch>
                      <a:fillRect/>
                    </a:stretch>
                  </pic:blipFill>
                  <pic:spPr>
                    <a:xfrm>
                      <a:off x="0" y="0"/>
                      <a:ext cx="144145" cy="144145"/>
                    </a:xfrm>
                    <a:prstGeom prst="rect">
                      <a:avLst/>
                    </a:prstGeom>
                  </pic:spPr>
                </pic:pic>
              </a:graphicData>
            </a:graphic>
          </wp:anchor>
        </w:drawing>
      </w:r>
      <w:r>
        <w:rPr>
          <w:noProof/>
        </w:rPr>
        <w:drawing>
          <wp:anchor distT="0" distB="0" distL="114300" distR="114300" simplePos="0" relativeHeight="251684864" behindDoc="0" locked="0" layoutInCell="1" allowOverlap="1">
            <wp:simplePos x="0" y="0"/>
            <wp:positionH relativeFrom="column">
              <wp:posOffset>-148590</wp:posOffset>
            </wp:positionH>
            <wp:positionV relativeFrom="paragraph">
              <wp:posOffset>-894080</wp:posOffset>
            </wp:positionV>
            <wp:extent cx="1976120" cy="669290"/>
            <wp:effectExtent l="0" t="0" r="508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76120" cy="669290"/>
                    </a:xfrm>
                    <a:prstGeom prst="rect">
                      <a:avLst/>
                    </a:prstGeom>
                  </pic:spPr>
                </pic:pic>
              </a:graphicData>
            </a:graphic>
          </wp:anchor>
        </w:drawing>
      </w:r>
      <w:r w:rsidR="00B43E63">
        <w:rPr>
          <w:noProof/>
        </w:rPr>
        <mc:AlternateContent>
          <mc:Choice Requires="wps">
            <w:drawing>
              <wp:anchor distT="0" distB="0" distL="114300" distR="114300" simplePos="0" relativeHeight="251655166" behindDoc="1" locked="0" layoutInCell="1" allowOverlap="1" wp14:anchorId="73D2B289" wp14:editId="75181B31">
                <wp:simplePos x="0" y="0"/>
                <wp:positionH relativeFrom="page">
                  <wp:posOffset>4445</wp:posOffset>
                </wp:positionH>
                <wp:positionV relativeFrom="page">
                  <wp:posOffset>-2540</wp:posOffset>
                </wp:positionV>
                <wp:extent cx="7559675" cy="10691495"/>
                <wp:effectExtent l="0" t="0" r="0" b="1905"/>
                <wp:wrapNone/>
                <wp:docPr id="5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9675" cy="10691495"/>
                        </a:xfrm>
                        <a:prstGeom prst="rect">
                          <a:avLst/>
                        </a:prstGeom>
                        <a:solidFill>
                          <a:srgbClr val="D62332"/>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A48E92" id="Rectangle 1" o:spid="_x0000_s1026" style="position:absolute;margin-left:.35pt;margin-top:-.2pt;width:595.25pt;height:841.85pt;z-index:-251661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" fillcolor="#d62332" stroked="f">
                <w10:wrap anchorx="page" anchory="page"/>
              </v:rect>
            </w:pict>
          </mc:Fallback>
        </mc:AlternateContent>
      </w:r>
    </w:p>
    <w:sectPr w:rsidR="00C70672" w:rsidSect="00AA341E">
      <w:headerReference w:type="even" r:id="rId41"/>
      <w:pgSz w:w="11910" w:h="16840"/>
      <w:pgMar w:top="2268" w:right="1134" w:bottom="1134" w:left="1134" w:header="0" w:footer="0" w:gutter="0"/>
      <w:cols w:space="720"/>
      <w:vAlign w:val="bottom"/>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5370C" w:rsidRDefault="0055370C">
      <w:r>
        <w:separator/>
      </w:r>
    </w:p>
  </w:endnote>
  <w:endnote w:type="continuationSeparator" w:id="0">
    <w:p w:rsidR="0055370C" w:rsidRDefault="005537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Roboto-Light">
    <w:altName w:val="Arial"/>
    <w:panose1 w:val="020B0604020202020204"/>
    <w:charset w:val="00"/>
    <w:family w:val="auto"/>
    <w:pitch w:val="variable"/>
    <w:sig w:usb0="E00002FF" w:usb1="5000205B" w:usb2="00000020" w:usb3="00000000" w:csb0="0000019F" w:csb1="00000000"/>
  </w:font>
  <w:font w:name="Roboto">
    <w:altName w:val="Arial"/>
    <w:panose1 w:val="020B0604020202020204"/>
    <w:charset w:val="00"/>
    <w:family w:val="auto"/>
    <w:pitch w:val="variable"/>
    <w:sig w:usb0="E00002FF" w:usb1="5000205B" w:usb2="00000020" w:usb3="00000000" w:csb0="0000019F" w:csb1="00000000"/>
  </w:font>
  <w:font w:name="Roboto-Black">
    <w:altName w:val="Arial"/>
    <w:panose1 w:val="020B0604020202020204"/>
    <w:charset w:val="00"/>
    <w:family w:val="auto"/>
    <w:pitch w:val="variable"/>
    <w:sig w:usb0="E00002FF" w:usb1="5000205B" w:usb2="00000020" w:usb3="00000000" w:csb0="0000019F" w:csb1="00000000"/>
  </w:font>
  <w:font w:name="Arial">
    <w:panose1 w:val="020B0604020202020204"/>
    <w:charset w:val="00"/>
    <w:family w:val="swiss"/>
    <w:pitch w:val="variable"/>
    <w:sig w:usb0="E0002AFF" w:usb1="C0007843" w:usb2="00000009" w:usb3="00000000" w:csb0="000001FF" w:csb1="00000000"/>
  </w:font>
  <w:font w:name="Roboto Light">
    <w:altName w:val="Arial"/>
    <w:panose1 w:val="020B0604020202020204"/>
    <w:charset w:val="00"/>
    <w:family w:val="auto"/>
    <w:pitch w:val="variable"/>
    <w:sig w:usb0="E00002FF" w:usb1="5000205B" w:usb2="0000002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5370C" w:rsidRDefault="0055370C">
      <w:r>
        <w:separator/>
      </w:r>
    </w:p>
  </w:footnote>
  <w:footnote w:type="continuationSeparator" w:id="0">
    <w:p w:rsidR="0055370C" w:rsidRDefault="0055370C">
      <w:r>
        <w:continuationSeparator/>
      </w:r>
    </w:p>
  </w:footnote>
  <w:footnote w:id="1">
    <w:p w:rsidR="00AE3684" w:rsidRDefault="00AE3684" w:rsidP="00AE3684">
      <w:pPr>
        <w:pStyle w:val="FootnoteText"/>
      </w:pPr>
      <w:r>
        <w:rPr>
          <w:rStyle w:val="FootnoteReference"/>
        </w:rPr>
        <w:footnoteRef/>
      </w:r>
      <w:r>
        <w:t xml:space="preserve"> Hayhoe, S., Tonin, C. &amp; Lunardi, G. (2017).'A Model of Inclusive Capital for Analysis of Non-Economic Human Capital' Decent Work, Equity and Inclusion, Padova, Italy, 5/10/17 - 7/10/17</w:t>
      </w:r>
    </w:p>
  </w:footnote>
  <w:footnote w:id="2">
    <w:p w:rsidR="00AE3684" w:rsidRDefault="00AE3684" w:rsidP="00AE3684">
      <w:pPr>
        <w:pStyle w:val="FootnoteText"/>
      </w:pPr>
      <w:r>
        <w:rPr>
          <w:rStyle w:val="FootnoteReference"/>
        </w:rPr>
        <w:footnoteRef/>
      </w:r>
      <w:r>
        <w:t xml:space="preserve"> Hayhoe, S. (in press). Cultural Heritage, Ageing, Disability &amp; Identity. </w:t>
      </w:r>
      <w:r>
        <w:t>Abbingdon, Oxford: Routledge.</w:t>
      </w:r>
    </w:p>
  </w:footnote>
  <w:footnote w:id="3">
    <w:p w:rsidR="00AE3684" w:rsidRDefault="00AE3684" w:rsidP="00AE3684">
      <w:pPr>
        <w:pStyle w:val="FootnoteText"/>
      </w:pPr>
      <w:r>
        <w:rPr>
          <w:rStyle w:val="FootnoteReference"/>
        </w:rPr>
        <w:footnoteRef/>
      </w:r>
      <w:r>
        <w:t xml:space="preserve"> Ibid.</w:t>
      </w:r>
    </w:p>
  </w:footnote>
  <w:footnote w:id="4">
    <w:p w:rsidR="00AE3684" w:rsidRDefault="00AE3684" w:rsidP="00AE3684">
      <w:pPr>
        <w:pStyle w:val="FootnoteText"/>
      </w:pPr>
      <w:r>
        <w:rPr>
          <w:rStyle w:val="FootnoteReference"/>
        </w:rPr>
        <w:footnoteRef/>
      </w:r>
      <w:r>
        <w:t xml:space="preserve"> Hayhoe, S. (2017). Blind Visitor Experiences at Art Museums. New York: Rowman &amp; Littlefield.</w:t>
      </w:r>
    </w:p>
  </w:footnote>
  <w:footnote w:id="5">
    <w:p w:rsidR="00AE3684" w:rsidRDefault="00AE3684" w:rsidP="00AE3684">
      <w:pPr>
        <w:pStyle w:val="FootnoteText"/>
      </w:pPr>
      <w:r>
        <w:rPr>
          <w:rStyle w:val="FootnoteReference"/>
        </w:rPr>
        <w:footnoteRef/>
      </w:r>
      <w:r>
        <w:t xml:space="preserve"> Yardi, S. (2010). A Theory of Technical Capital. Paper delivered to the TMSP Workshop, Georgia Institute of Technology, Georgia, 11–12 February 2010.</w:t>
      </w:r>
    </w:p>
    <w:p w:rsidR="00AE3684" w:rsidRDefault="00AE3684" w:rsidP="00AE3684">
      <w:pPr>
        <w:pStyle w:val="FootnoteText"/>
      </w:pPr>
      <w:r>
        <w:t>Yardi, S. (2009). Social Learning and Technical Capital on the Social Web. ACM Crossroads. 162: 9–11.</w:t>
      </w:r>
    </w:p>
  </w:footnote>
  <w:footnote w:id="6">
    <w:p w:rsidR="00AE3684" w:rsidRDefault="00AE3684" w:rsidP="00AE3684">
      <w:pPr>
        <w:pStyle w:val="FootnoteText"/>
      </w:pPr>
      <w:r>
        <w:rPr>
          <w:rStyle w:val="FootnoteReference"/>
        </w:rPr>
        <w:footnoteRef/>
      </w:r>
      <w:r>
        <w:t xml:space="preserve"> Hayhoe, 2017 Op. Cit.</w:t>
      </w:r>
    </w:p>
  </w:footnote>
  <w:footnote w:id="7">
    <w:p w:rsidR="00AE3684" w:rsidRDefault="00AE3684" w:rsidP="00AE3684">
      <w:pPr>
        <w:pStyle w:val="FootnoteText"/>
      </w:pPr>
      <w:r>
        <w:rPr>
          <w:rStyle w:val="FootnoteReference"/>
        </w:rPr>
        <w:footnoteRef/>
      </w:r>
      <w:r>
        <w:t xml:space="preserve"> Yardi, 2009, 2010, Op. Cit.</w:t>
      </w:r>
    </w:p>
  </w:footnote>
  <w:footnote w:id="8">
    <w:p w:rsidR="00AE3684" w:rsidRDefault="00AE3684" w:rsidP="00AE3684">
      <w:pPr>
        <w:pStyle w:val="FootnoteText"/>
      </w:pPr>
      <w:r>
        <w:rPr>
          <w:rStyle w:val="FootnoteReference"/>
        </w:rPr>
        <w:footnoteRef/>
      </w:r>
      <w:r>
        <w:t xml:space="preserve"> </w:t>
      </w:r>
      <w:r w:rsidRPr="00A170F4">
        <w:t>Glaser, B. G., &amp; Strauss, A. L. (1967). The discovery of grounded theory: Strategies for qualitative research.</w:t>
      </w:r>
      <w:r>
        <w:t xml:space="preserve"> </w:t>
      </w:r>
      <w:r w:rsidRPr="00A170F4">
        <w:t>Chicago: Aldine Publishing Company.</w:t>
      </w:r>
    </w:p>
  </w:footnote>
  <w:footnote w:id="9">
    <w:p w:rsidR="00AE3684" w:rsidRDefault="00AE3684" w:rsidP="00AE3684">
      <w:pPr>
        <w:pStyle w:val="FootnoteText"/>
      </w:pPr>
      <w:r>
        <w:rPr>
          <w:rStyle w:val="FootnoteReference"/>
        </w:rPr>
        <w:footnoteRef/>
      </w:r>
      <w:r>
        <w:t xml:space="preserve"> </w:t>
      </w:r>
      <w:r w:rsidRPr="00A170F4">
        <w:t>Hayhoe, S. (2012). Grounded theory and disability studies. Amherst, New York: Cambria Press</w:t>
      </w:r>
      <w:r>
        <w:t>.</w:t>
      </w:r>
    </w:p>
  </w:footnote>
  <w:footnote w:id="10">
    <w:p w:rsidR="00AE3684" w:rsidRDefault="00AE3684" w:rsidP="00AE3684">
      <w:pPr>
        <w:pStyle w:val="FootnoteText"/>
      </w:pPr>
      <w:r>
        <w:rPr>
          <w:rStyle w:val="FootnoteReference"/>
        </w:rPr>
        <w:footnoteRef/>
      </w:r>
      <w:r>
        <w:t xml:space="preserve"> </w:t>
      </w:r>
      <w:r w:rsidRPr="00A170F4">
        <w:t>Geertz, C. (1989). Works and lives: The anthropologist as author. Palo Alto, CA: Stanford University Press</w:t>
      </w:r>
      <w:r>
        <w:t>.</w:t>
      </w:r>
    </w:p>
  </w:footnote>
  <w:footnote w:id="11">
    <w:p w:rsidR="00AE3684" w:rsidRDefault="00AE3684" w:rsidP="00AE3684">
      <w:pPr>
        <w:pStyle w:val="FootnoteText"/>
      </w:pPr>
      <w:r>
        <w:rPr>
          <w:rStyle w:val="FootnoteReference"/>
        </w:rPr>
        <w:footnoteRef/>
      </w:r>
      <w:r>
        <w:t xml:space="preserve"> Popper, K. (1959). The logic of scientific discovery. London: Hutchinson &amp; Co.</w:t>
      </w:r>
    </w:p>
    <w:p w:rsidR="00AE3684" w:rsidRDefault="00AE3684" w:rsidP="00AE3684">
      <w:pPr>
        <w:pStyle w:val="FootnoteText"/>
      </w:pPr>
      <w:r>
        <w:t>Popper, K. (1979). Objective knowledge: An evolutionary approach (Rev. ed.). Oxford: Clarendon Press.</w:t>
      </w:r>
    </w:p>
  </w:footnote>
  <w:footnote w:id="12">
    <w:p w:rsidR="00AE3684" w:rsidRDefault="00AE3684" w:rsidP="00AE3684">
      <w:pPr>
        <w:pStyle w:val="FootnoteText"/>
      </w:pPr>
      <w:r>
        <w:rPr>
          <w:rStyle w:val="FootnoteReference"/>
        </w:rPr>
        <w:footnoteRef/>
      </w:r>
      <w:r>
        <w:t xml:space="preserve"> </w:t>
      </w:r>
      <w:r w:rsidRPr="008E2982">
        <w:t>Hayhoe, S</w:t>
      </w:r>
      <w:r>
        <w:t>.</w:t>
      </w:r>
      <w:r w:rsidRPr="008E2982">
        <w:t xml:space="preserve"> </w:t>
      </w:r>
      <w:r>
        <w:t>(</w:t>
      </w:r>
      <w:r w:rsidRPr="008E2982">
        <w:t>2018</w:t>
      </w:r>
      <w:r>
        <w:t>).</w:t>
      </w:r>
      <w:r w:rsidRPr="008E2982">
        <w:t xml:space="preserve"> Epistemological Trends in the Literature on Mobile Devices, Mobile Learning, and Learners with Visual Impairments</w:t>
      </w:r>
      <w:r>
        <w:t xml:space="preserve">. </w:t>
      </w:r>
      <w:r w:rsidRPr="008E2982">
        <w:t xml:space="preserve">Optometry and Vision Science, </w:t>
      </w:r>
      <w:r w:rsidRPr="008E2982">
        <w:t>95</w:t>
      </w:r>
      <w:r>
        <w:t>(</w:t>
      </w:r>
      <w:r w:rsidRPr="008E2982">
        <w:t xml:space="preserve"> 9</w:t>
      </w:r>
      <w:r>
        <w:t xml:space="preserve">): </w:t>
      </w:r>
      <w:r w:rsidRPr="008E2982">
        <w:t>889-897. DOI: 10.1097/OPX.0000000000001279</w:t>
      </w:r>
    </w:p>
  </w:footnote>
  <w:footnote w:id="13">
    <w:p w:rsidR="00AE3684" w:rsidRDefault="00AE3684" w:rsidP="00AE3684">
      <w:pPr>
        <w:pStyle w:val="FootnoteText"/>
      </w:pPr>
      <w:r>
        <w:rPr>
          <w:rStyle w:val="FootnoteReference"/>
        </w:rPr>
        <w:footnoteRef/>
      </w:r>
      <w:r>
        <w:t xml:space="preserve"> </w:t>
      </w:r>
      <w:r w:rsidRPr="00343E3A">
        <w:rPr>
          <w:rFonts w:cstheme="minorHAnsi"/>
        </w:rPr>
        <w:t>Central Statistics Office (2019) Census 2016 Summary Results</w:t>
      </w:r>
      <w:r>
        <w:rPr>
          <w:rFonts w:cstheme="minorHAnsi"/>
        </w:rPr>
        <w:t xml:space="preserve"> (Summary Results)</w:t>
      </w:r>
      <w:r w:rsidRPr="00343E3A">
        <w:rPr>
          <w:rFonts w:cstheme="minorHAnsi"/>
        </w:rPr>
        <w:t xml:space="preserve">. Downloaded from </w:t>
      </w:r>
      <w:hyperlink r:id="rId1" w:history="1">
        <w:r w:rsidRPr="000F6277">
          <w:rPr>
            <w:rStyle w:val="Hyperlink"/>
            <w:rFonts w:cstheme="minorHAnsi"/>
          </w:rPr>
          <w:t>https://www.cso.ie/en/media/csoie/newsevents/documents/pressreleases/2017/prCensussummarypart1.pdf</w:t>
        </w:r>
      </w:hyperlink>
      <w:r>
        <w:rPr>
          <w:rFonts w:cstheme="minorHAnsi"/>
          <w:color w:val="000000" w:themeColor="text1"/>
        </w:rPr>
        <w:t xml:space="preserve"> </w:t>
      </w:r>
      <w:r w:rsidRPr="00343E3A">
        <w:rPr>
          <w:rFonts w:cstheme="minorHAnsi"/>
          <w:color w:val="000000" w:themeColor="text1"/>
        </w:rPr>
        <w:t>on the 12</w:t>
      </w:r>
      <w:r w:rsidRPr="00343E3A">
        <w:rPr>
          <w:rFonts w:cstheme="minorHAnsi"/>
          <w:color w:val="000000" w:themeColor="text1"/>
          <w:vertAlign w:val="superscript"/>
        </w:rPr>
        <w:t>th</w:t>
      </w:r>
      <w:r w:rsidRPr="00343E3A">
        <w:rPr>
          <w:rFonts w:cstheme="minorHAnsi"/>
          <w:color w:val="000000" w:themeColor="text1"/>
        </w:rPr>
        <w:t xml:space="preserve"> December 2018.</w:t>
      </w:r>
    </w:p>
  </w:footnote>
  <w:footnote w:id="14">
    <w:p w:rsidR="00AE3684" w:rsidRPr="00343E3A" w:rsidRDefault="00AE3684" w:rsidP="00AE3684">
      <w:pPr>
        <w:pStyle w:val="FootnoteText"/>
        <w:rPr>
          <w:rFonts w:cstheme="minorHAnsi"/>
        </w:rPr>
      </w:pPr>
      <w:r w:rsidRPr="00343E3A">
        <w:rPr>
          <w:rStyle w:val="FootnoteReference"/>
          <w:rFonts w:cstheme="minorHAnsi"/>
        </w:rPr>
        <w:footnoteRef/>
      </w:r>
      <w:r w:rsidRPr="00343E3A">
        <w:rPr>
          <w:rFonts w:cstheme="minorHAnsi"/>
        </w:rPr>
        <w:t xml:space="preserve"> Central Statistics Office (2019) Census 2016 Summary Results</w:t>
      </w:r>
      <w:r>
        <w:rPr>
          <w:rFonts w:cstheme="minorHAnsi"/>
        </w:rPr>
        <w:t xml:space="preserve"> [</w:t>
      </w:r>
      <w:r>
        <w:rPr>
          <w:rFonts w:cstheme="minorHAnsi"/>
        </w:rPr>
        <w:t>Infograph]</w:t>
      </w:r>
      <w:r w:rsidRPr="00343E3A">
        <w:rPr>
          <w:rFonts w:cstheme="minorHAnsi"/>
        </w:rPr>
        <w:t xml:space="preserve">. Downloaded from </w:t>
      </w:r>
      <w:hyperlink r:id="rId2" w:history="1">
        <w:r w:rsidRPr="00343E3A">
          <w:rPr>
            <w:rStyle w:val="Hyperlink"/>
            <w:rFonts w:cstheme="minorHAnsi"/>
          </w:rPr>
          <w:t>https://www.cso.ie/en/media/csoie/visualisationtools/infographics/census/2016/Census_2016_Summary_Results_Part_1_Infographic_Large.png</w:t>
        </w:r>
      </w:hyperlink>
      <w:r w:rsidRPr="00343E3A">
        <w:rPr>
          <w:rFonts w:cstheme="minorHAnsi"/>
          <w:color w:val="000000" w:themeColor="text1"/>
        </w:rPr>
        <w:t xml:space="preserve"> on the 12</w:t>
      </w:r>
      <w:r w:rsidRPr="00343E3A">
        <w:rPr>
          <w:rFonts w:cstheme="minorHAnsi"/>
          <w:color w:val="000000" w:themeColor="text1"/>
          <w:vertAlign w:val="superscript"/>
        </w:rPr>
        <w:t>th</w:t>
      </w:r>
      <w:r w:rsidRPr="00343E3A">
        <w:rPr>
          <w:rFonts w:cstheme="minorHAnsi"/>
          <w:color w:val="000000" w:themeColor="text1"/>
        </w:rPr>
        <w:t xml:space="preserve"> December 2018.</w:t>
      </w:r>
    </w:p>
  </w:footnote>
  <w:footnote w:id="15">
    <w:p w:rsidR="00AE3684" w:rsidRDefault="00AE3684" w:rsidP="00AE3684">
      <w:pPr>
        <w:pStyle w:val="FootnoteText"/>
      </w:pPr>
      <w:r>
        <w:rPr>
          <w:rStyle w:val="FootnoteReference"/>
        </w:rPr>
        <w:footnoteRef/>
      </w:r>
      <w:r>
        <w:t xml:space="preserve"> </w:t>
      </w:r>
      <w:r w:rsidRPr="00343E3A">
        <w:rPr>
          <w:rFonts w:cstheme="minorHAnsi"/>
        </w:rPr>
        <w:t>Central Statistics Office (2019) Census 2016 Summary Results</w:t>
      </w:r>
      <w:r>
        <w:rPr>
          <w:rFonts w:cstheme="minorHAnsi"/>
        </w:rPr>
        <w:t xml:space="preserve"> [Tables]</w:t>
      </w:r>
      <w:r w:rsidRPr="00343E3A">
        <w:rPr>
          <w:rFonts w:cstheme="minorHAnsi"/>
        </w:rPr>
        <w:t>. Downloaded from</w:t>
      </w:r>
      <w:r w:rsidRPr="00887BB9">
        <w:rPr>
          <w:rFonts w:cstheme="minorHAnsi"/>
          <w:color w:val="000000" w:themeColor="text1"/>
        </w:rPr>
        <w:t xml:space="preserve"> </w:t>
      </w:r>
      <w:r w:rsidRPr="00E74FDC">
        <w:rPr>
          <w:rFonts w:cstheme="minorHAnsi"/>
          <w:color w:val="000000" w:themeColor="text1"/>
        </w:rPr>
        <w:t>http://www.cso.ie/px/pxeirestat/Database/eirestat/Summary%20Results%20Part%201/Summary%20Results%20Part%201_statbank.asp?SP=Summary%20Results%20Part%201&amp;Planguage=0</w:t>
      </w:r>
      <w:r>
        <w:rPr>
          <w:rFonts w:cstheme="minorHAnsi"/>
          <w:color w:val="000000" w:themeColor="text1"/>
        </w:rPr>
        <w:t xml:space="preserve"> </w:t>
      </w:r>
      <w:r w:rsidRPr="00343E3A">
        <w:rPr>
          <w:rFonts w:cstheme="minorHAnsi"/>
          <w:color w:val="000000" w:themeColor="text1"/>
        </w:rPr>
        <w:t>on the 12</w:t>
      </w:r>
      <w:r w:rsidRPr="00343E3A">
        <w:rPr>
          <w:rFonts w:cstheme="minorHAnsi"/>
          <w:color w:val="000000" w:themeColor="text1"/>
          <w:vertAlign w:val="superscript"/>
        </w:rPr>
        <w:t>th</w:t>
      </w:r>
      <w:r w:rsidRPr="00343E3A">
        <w:rPr>
          <w:rFonts w:cstheme="minorHAnsi"/>
          <w:color w:val="000000" w:themeColor="text1"/>
        </w:rPr>
        <w:t xml:space="preserve"> December 2018.</w:t>
      </w:r>
    </w:p>
  </w:footnote>
  <w:footnote w:id="16">
    <w:p w:rsidR="00AE3684" w:rsidRDefault="00AE3684" w:rsidP="00AE3684">
      <w:pPr>
        <w:pStyle w:val="FootnoteText"/>
      </w:pPr>
      <w:r>
        <w:rPr>
          <w:rStyle w:val="FootnoteReference"/>
        </w:rPr>
        <w:footnoteRef/>
      </w:r>
      <w:r>
        <w:t xml:space="preserve"> </w:t>
      </w:r>
      <w:r w:rsidRPr="00115A43">
        <w:t>Ramke J</w:t>
      </w:r>
      <w:r>
        <w:t>.</w:t>
      </w:r>
      <w:r w:rsidRPr="00115A43">
        <w:t>, Zwi A</w:t>
      </w:r>
      <w:r>
        <w:t>.</w:t>
      </w:r>
      <w:r w:rsidRPr="00115A43">
        <w:t>B</w:t>
      </w:r>
      <w:r>
        <w:t>.</w:t>
      </w:r>
      <w:r w:rsidRPr="00115A43">
        <w:t>, Palagyi A</w:t>
      </w:r>
      <w:r>
        <w:t>.</w:t>
      </w:r>
      <w:r w:rsidRPr="00115A43">
        <w:t xml:space="preserve">, Blignault </w:t>
      </w:r>
      <w:r w:rsidRPr="00115A43">
        <w:t>I</w:t>
      </w:r>
      <w:r>
        <w:t xml:space="preserve">,. &amp; </w:t>
      </w:r>
      <w:r w:rsidRPr="00115A43">
        <w:t>Gilbert C</w:t>
      </w:r>
      <w:r>
        <w:t>.</w:t>
      </w:r>
      <w:r w:rsidRPr="00115A43">
        <w:t xml:space="preserve">E. </w:t>
      </w:r>
      <w:r>
        <w:t>(</w:t>
      </w:r>
      <w:r w:rsidRPr="00115A43">
        <w:t>2015</w:t>
      </w:r>
      <w:r>
        <w:t xml:space="preserve">). </w:t>
      </w:r>
      <w:r w:rsidRPr="00115A43">
        <w:t>Equity and blindness: closing evidence gaps to support universal eye health. Ophthalmic Epidemiol</w:t>
      </w:r>
      <w:r>
        <w:t xml:space="preserve">ogy, </w:t>
      </w:r>
      <w:r w:rsidRPr="00115A43">
        <w:t>22(5):297–307.</w:t>
      </w:r>
      <w:r>
        <w:t xml:space="preserve"> </w:t>
      </w:r>
      <w:r w:rsidRPr="00115A43">
        <w:t>http://dx.doi.org/10.3109/09286586.2015.1077977</w:t>
      </w:r>
    </w:p>
  </w:footnote>
  <w:footnote w:id="17">
    <w:p w:rsidR="00AE3684" w:rsidRDefault="00AE3684" w:rsidP="00AE3684">
      <w:pPr>
        <w:pStyle w:val="FootnoteText"/>
      </w:pPr>
      <w:r>
        <w:rPr>
          <w:rStyle w:val="FootnoteReference"/>
        </w:rPr>
        <w:footnoteRef/>
      </w:r>
      <w:r>
        <w:t xml:space="preserve"> </w:t>
      </w:r>
      <w:r w:rsidRPr="003C30AE">
        <w:t>Bourne R</w:t>
      </w:r>
      <w:r>
        <w:t>.</w:t>
      </w:r>
      <w:r w:rsidRPr="003C30AE">
        <w:t>R</w:t>
      </w:r>
      <w:r>
        <w:t>.</w:t>
      </w:r>
      <w:r w:rsidRPr="003C30AE">
        <w:t xml:space="preserve">A, et al. </w:t>
      </w:r>
      <w:r>
        <w:t>(</w:t>
      </w:r>
      <w:r w:rsidRPr="003C30AE">
        <w:t>2014</w:t>
      </w:r>
      <w:r>
        <w:t xml:space="preserve">). </w:t>
      </w:r>
      <w:r w:rsidRPr="003C30AE">
        <w:t>Prevalence and causes of vision loss in high-income countries and in Eastern and Central Europe: 1990–2010. Br</w:t>
      </w:r>
      <w:r>
        <w:t>itish</w:t>
      </w:r>
      <w:r w:rsidRPr="003C30AE">
        <w:t xml:space="preserve"> J</w:t>
      </w:r>
      <w:r>
        <w:t>ournal of</w:t>
      </w:r>
      <w:r w:rsidRPr="003C30AE">
        <w:t xml:space="preserve"> Ophthalmol</w:t>
      </w:r>
      <w:r>
        <w:t xml:space="preserve">ogy, </w:t>
      </w:r>
      <w:r w:rsidRPr="003C30AE">
        <w:t>98:629–638. doi:10.1136/bjophthalmol-2013-304033</w:t>
      </w:r>
    </w:p>
  </w:footnote>
  <w:footnote w:id="18">
    <w:p w:rsidR="00AE3684" w:rsidRDefault="00AE3684" w:rsidP="00AE3684">
      <w:pPr>
        <w:pStyle w:val="FootnoteText"/>
      </w:pPr>
      <w:r>
        <w:rPr>
          <w:rStyle w:val="FootnoteReference"/>
        </w:rPr>
        <w:footnoteRef/>
      </w:r>
      <w:r>
        <w:t xml:space="preserve"> </w:t>
      </w:r>
      <w:r w:rsidRPr="00DB2BAA">
        <w:t>Bourne R</w:t>
      </w:r>
      <w:r>
        <w:t>.</w:t>
      </w:r>
      <w:r w:rsidRPr="00DB2BAA">
        <w:t>R</w:t>
      </w:r>
      <w:r>
        <w:t>.</w:t>
      </w:r>
      <w:r w:rsidRPr="00DB2BAA">
        <w:t>A</w:t>
      </w:r>
      <w:r>
        <w:t>.</w:t>
      </w:r>
      <w:r w:rsidRPr="00DB2BAA">
        <w:t xml:space="preserve">, et al. </w:t>
      </w:r>
      <w:r>
        <w:t>(</w:t>
      </w:r>
      <w:r w:rsidRPr="00DB2BAA">
        <w:t>2017</w:t>
      </w:r>
      <w:r>
        <w:t>).</w:t>
      </w:r>
      <w:r w:rsidRPr="00DB2BAA">
        <w:t xml:space="preserve"> Vision Loss Expert Group. Magnitude, temporal trends, and projections of the global prevalence of blindness and distance and near vision impairment: a systematic review and meta-analysis. Lancet Glob Health. Sep;5(9</w:t>
      </w:r>
      <w:r w:rsidRPr="00DB2BAA">
        <w:t>):e888–97. http://dx.doi.org/10.1016/S2214-109X(17)30293-0</w:t>
      </w:r>
    </w:p>
  </w:footnote>
  <w:footnote w:id="19">
    <w:p w:rsidR="00AE3684" w:rsidRDefault="00AE3684" w:rsidP="00AE3684">
      <w:pPr>
        <w:pStyle w:val="FootnoteText"/>
      </w:pPr>
      <w:r>
        <w:rPr>
          <w:rStyle w:val="FootnoteReference"/>
        </w:rPr>
        <w:footnoteRef/>
      </w:r>
      <w:r>
        <w:t xml:space="preserve"> </w:t>
      </w:r>
      <w:r w:rsidRPr="00E16DBF">
        <w:t>https://blind.dk/dab</w:t>
      </w:r>
    </w:p>
  </w:footnote>
  <w:footnote w:id="20">
    <w:p w:rsidR="00AE3684" w:rsidRDefault="00AE3684" w:rsidP="00AE3684">
      <w:pPr>
        <w:pStyle w:val="FootnoteText"/>
      </w:pPr>
      <w:r>
        <w:rPr>
          <w:rStyle w:val="FootnoteReference"/>
        </w:rPr>
        <w:footnoteRef/>
      </w:r>
      <w:r>
        <w:t xml:space="preserve"> </w:t>
      </w:r>
      <w:r w:rsidRPr="00E16DBF">
        <w:rPr>
          <w:lang w:val="en-US"/>
        </w:rPr>
        <w:t>https://nota.dk/om-nota/English</w:t>
      </w:r>
    </w:p>
  </w:footnote>
  <w:footnote w:id="21">
    <w:p w:rsidR="00AE3684" w:rsidRDefault="00AE3684" w:rsidP="00AE3684">
      <w:pPr>
        <w:pStyle w:val="FootnoteText"/>
      </w:pPr>
      <w:r>
        <w:rPr>
          <w:rStyle w:val="FootnoteReference"/>
        </w:rPr>
        <w:footnoteRef/>
      </w:r>
      <w:r>
        <w:t xml:space="preserve"> </w:t>
      </w:r>
      <w:hyperlink r:id="rId3" w:history="1">
        <w:r w:rsidRPr="00E16DBF">
          <w:rPr>
            <w:rStyle w:val="Hyperlink"/>
          </w:rPr>
          <w:t>https://joinup.ec.europa.eu/document/danish-digital-library-service-blind-dls</w:t>
        </w:r>
      </w:hyperlink>
    </w:p>
  </w:footnote>
  <w:footnote w:id="22">
    <w:p w:rsidR="00AE3684" w:rsidRDefault="00AE3684" w:rsidP="00AE3684">
      <w:pPr>
        <w:pStyle w:val="FootnoteText"/>
      </w:pPr>
      <w:r>
        <w:rPr>
          <w:rStyle w:val="FootnoteReference"/>
        </w:rPr>
        <w:footnoteRef/>
      </w:r>
      <w:r>
        <w:t xml:space="preserve"> </w:t>
      </w:r>
      <w:hyperlink r:id="rId4" w:history="1">
        <w:r w:rsidRPr="00E16DBF">
          <w:rPr>
            <w:rStyle w:val="Hyperlink"/>
          </w:rPr>
          <w:t>https://www.nkl.fi/en</w:t>
        </w:r>
      </w:hyperlink>
    </w:p>
  </w:footnote>
  <w:footnote w:id="23">
    <w:p w:rsidR="00AE3684" w:rsidRDefault="00AE3684" w:rsidP="00AE3684">
      <w:pPr>
        <w:pStyle w:val="FootnoteText"/>
      </w:pPr>
      <w:r>
        <w:rPr>
          <w:rStyle w:val="FootnoteReference"/>
        </w:rPr>
        <w:footnoteRef/>
      </w:r>
      <w:r>
        <w:t xml:space="preserve"> </w:t>
      </w:r>
      <w:hyperlink r:id="rId5" w:history="1">
        <w:r w:rsidRPr="00E16DBF">
          <w:rPr>
            <w:rStyle w:val="Hyperlink"/>
          </w:rPr>
          <w:t>https://www.mass.gov/orgs/massachusetts-commission-for-the-blind</w:t>
        </w:r>
      </w:hyperlink>
    </w:p>
  </w:footnote>
  <w:footnote w:id="24">
    <w:p w:rsidR="00AE3684" w:rsidRDefault="00AE3684" w:rsidP="00AE3684">
      <w:pPr>
        <w:pStyle w:val="FootnoteText"/>
      </w:pPr>
      <w:r>
        <w:rPr>
          <w:rStyle w:val="FootnoteReference"/>
        </w:rPr>
        <w:footnoteRef/>
      </w:r>
      <w:r>
        <w:t xml:space="preserve"> </w:t>
      </w:r>
      <w:hyperlink r:id="rId6" w:history="1">
        <w:r w:rsidRPr="00E16DBF">
          <w:rPr>
            <w:rStyle w:val="Hyperlink"/>
          </w:rPr>
          <w:t>https://www.afb.org/</w:t>
        </w:r>
      </w:hyperlink>
    </w:p>
  </w:footnote>
  <w:footnote w:id="25">
    <w:p w:rsidR="00AE3684" w:rsidRDefault="00AE3684" w:rsidP="00AE3684">
      <w:pPr>
        <w:pStyle w:val="FootnoteText"/>
      </w:pPr>
      <w:r>
        <w:rPr>
          <w:rStyle w:val="FootnoteReference"/>
        </w:rPr>
        <w:footnoteRef/>
      </w:r>
      <w:r>
        <w:t xml:space="preserve"> </w:t>
      </w:r>
      <w:hyperlink r:id="rId7" w:history="1">
        <w:r w:rsidRPr="00E16DBF">
          <w:rPr>
            <w:rStyle w:val="Hyperlink"/>
          </w:rPr>
          <w:t>https://www.nfb.org/</w:t>
        </w:r>
      </w:hyperlink>
    </w:p>
  </w:footnote>
  <w:footnote w:id="26">
    <w:p w:rsidR="00AE3684" w:rsidRDefault="00AE3684" w:rsidP="00AE3684">
      <w:pPr>
        <w:pStyle w:val="FootnoteText"/>
      </w:pPr>
      <w:r>
        <w:rPr>
          <w:rStyle w:val="FootnoteReference"/>
        </w:rPr>
        <w:footnoteRef/>
      </w:r>
      <w:r>
        <w:t xml:space="preserve"> </w:t>
      </w:r>
      <w:hyperlink r:id="rId8" w:history="1">
        <w:r w:rsidRPr="00824C83">
          <w:rPr>
            <w:rStyle w:val="Hyperlink"/>
          </w:rPr>
          <w:t>https://www.aph.org/</w:t>
        </w:r>
      </w:hyperlink>
    </w:p>
  </w:footnote>
  <w:footnote w:id="27">
    <w:p w:rsidR="00AE3684" w:rsidRDefault="00AE3684" w:rsidP="00AE3684">
      <w:pPr>
        <w:pStyle w:val="FootnoteText"/>
      </w:pPr>
      <w:r>
        <w:rPr>
          <w:rStyle w:val="FootnoteReference"/>
        </w:rPr>
        <w:footnoteRef/>
      </w:r>
      <w:r>
        <w:t xml:space="preserve"> </w:t>
      </w:r>
      <w:hyperlink r:id="rId9" w:history="1">
        <w:r w:rsidRPr="00824C83">
          <w:rPr>
            <w:rStyle w:val="Hyperlink"/>
          </w:rPr>
          <w:t>www.bcnsw.org.au/</w:t>
        </w:r>
      </w:hyperlink>
    </w:p>
  </w:footnote>
  <w:footnote w:id="28">
    <w:p w:rsidR="00AE3684" w:rsidRDefault="00AE3684" w:rsidP="00AE3684">
      <w:pPr>
        <w:pStyle w:val="FootnoteText"/>
      </w:pPr>
      <w:r>
        <w:rPr>
          <w:rStyle w:val="FootnoteReference"/>
        </w:rPr>
        <w:footnoteRef/>
      </w:r>
      <w:r>
        <w:t xml:space="preserve"> </w:t>
      </w:r>
      <w:hyperlink r:id="rId10" w:history="1">
        <w:r w:rsidRPr="00824C83">
          <w:rPr>
            <w:rStyle w:val="Hyperlink"/>
          </w:rPr>
          <w:t>https://www.visionaustralia.org/</w:t>
        </w:r>
      </w:hyperlink>
    </w:p>
  </w:footnote>
  <w:footnote w:id="29">
    <w:p w:rsidR="00AE3684" w:rsidRDefault="00AE3684" w:rsidP="00AE3684">
      <w:pPr>
        <w:pStyle w:val="FootnoteText"/>
      </w:pPr>
      <w:r>
        <w:rPr>
          <w:rStyle w:val="FootnoteReference"/>
        </w:rPr>
        <w:footnoteRef/>
      </w:r>
      <w:r>
        <w:t xml:space="preserve"> </w:t>
      </w:r>
      <w:hyperlink r:id="rId11" w:history="1">
        <w:r w:rsidRPr="00824C83">
          <w:rPr>
            <w:rStyle w:val="Hyperlink"/>
          </w:rPr>
          <w:t>www.rsb.org.au/</w:t>
        </w:r>
      </w:hyperlink>
    </w:p>
  </w:footnote>
  <w:footnote w:id="30">
    <w:p w:rsidR="00AE3684" w:rsidRDefault="00AE3684" w:rsidP="00AE3684">
      <w:pPr>
        <w:pStyle w:val="FootnoteText"/>
      </w:pPr>
      <w:r>
        <w:rPr>
          <w:rStyle w:val="FootnoteReference"/>
        </w:rPr>
        <w:footnoteRef/>
      </w:r>
      <w:r>
        <w:t xml:space="preserve"> </w:t>
      </w:r>
      <w:hyperlink r:id="rId12" w:history="1">
        <w:r w:rsidRPr="00BC362D">
          <w:rPr>
            <w:rStyle w:val="Hyperlink"/>
          </w:rPr>
          <w:t>https://blindfoundation.org.nz/</w:t>
        </w:r>
      </w:hyperlink>
    </w:p>
  </w:footnote>
  <w:footnote w:id="31">
    <w:p w:rsidR="00AE3684" w:rsidRDefault="00AE3684" w:rsidP="00AE3684">
      <w:pPr>
        <w:pStyle w:val="FootnoteText"/>
      </w:pPr>
      <w:r>
        <w:rPr>
          <w:rStyle w:val="FootnoteReference"/>
        </w:rPr>
        <w:footnoteRef/>
      </w:r>
      <w:r>
        <w:t xml:space="preserve"> </w:t>
      </w:r>
      <w:hyperlink r:id="rId13" w:history="1">
        <w:r w:rsidRPr="008E4C85">
          <w:rPr>
            <w:rStyle w:val="Hyperlink"/>
          </w:rPr>
          <w:t>https://nbfu.no/norwegian-association-blind-and-partially-sighted-youth-nabpy</w:t>
        </w:r>
      </w:hyperlink>
    </w:p>
  </w:footnote>
  <w:footnote w:id="32">
    <w:p w:rsidR="00AE3684" w:rsidRDefault="00AE3684" w:rsidP="00AE3684">
      <w:pPr>
        <w:pStyle w:val="FootnoteText"/>
      </w:pPr>
      <w:r>
        <w:rPr>
          <w:rStyle w:val="FootnoteReference"/>
        </w:rPr>
        <w:footnoteRef/>
      </w:r>
      <w:r>
        <w:t xml:space="preserve"> </w:t>
      </w:r>
      <w:hyperlink r:id="rId14" w:history="1">
        <w:r w:rsidRPr="004202D1">
          <w:rPr>
            <w:rStyle w:val="Hyperlink"/>
          </w:rPr>
          <w:t>https://www.rnib.org.uk/Scotland</w:t>
        </w:r>
      </w:hyperlink>
    </w:p>
  </w:footnote>
  <w:footnote w:id="33">
    <w:p w:rsidR="00AE3684" w:rsidRDefault="00AE3684" w:rsidP="00AE3684">
      <w:pPr>
        <w:pStyle w:val="FootnoteText"/>
      </w:pPr>
      <w:r>
        <w:rPr>
          <w:rStyle w:val="FootnoteReference"/>
        </w:rPr>
        <w:footnoteRef/>
      </w:r>
      <w:r>
        <w:t xml:space="preserve"> </w:t>
      </w:r>
      <w:hyperlink r:id="rId15" w:history="1">
        <w:r w:rsidRPr="00AE7B65">
          <w:rPr>
            <w:rStyle w:val="Hyperlink"/>
          </w:rPr>
          <w:t>https://www.royalblind.org/</w:t>
        </w:r>
      </w:hyperlink>
    </w:p>
  </w:footnote>
  <w:footnote w:id="34">
    <w:p w:rsidR="00AE3684" w:rsidRDefault="00AE3684" w:rsidP="00AE3684">
      <w:pPr>
        <w:pStyle w:val="FootnoteText"/>
      </w:pPr>
      <w:r>
        <w:rPr>
          <w:rStyle w:val="FootnoteReference"/>
        </w:rPr>
        <w:footnoteRef/>
      </w:r>
      <w:r>
        <w:t xml:space="preserve"> </w:t>
      </w:r>
      <w:r w:rsidRPr="0048793B">
        <w:rPr>
          <w:lang w:val="en-US"/>
        </w:rPr>
        <w:t>http://www.srf.nu/om-oss/in-english/</w:t>
      </w:r>
    </w:p>
  </w:footnote>
  <w:footnote w:id="35">
    <w:p w:rsidR="00AE3684" w:rsidRDefault="00AE3684" w:rsidP="00AE3684">
      <w:pPr>
        <w:pStyle w:val="FootnoteText"/>
      </w:pPr>
      <w:r>
        <w:rPr>
          <w:rStyle w:val="FootnoteReference"/>
        </w:rPr>
        <w:footnoteRef/>
      </w:r>
      <w:r>
        <w:t xml:space="preserve"> </w:t>
      </w:r>
      <w:r w:rsidRPr="00226AF8">
        <w:rPr>
          <w:lang w:val="en-US"/>
        </w:rPr>
        <w:t>http://guidedogs.se/?page_id=491&amp;lang=en</w:t>
      </w:r>
    </w:p>
  </w:footnote>
  <w:footnote w:id="36">
    <w:p w:rsidR="00AE3684" w:rsidRDefault="00AE3684" w:rsidP="00AE3684">
      <w:pPr>
        <w:pStyle w:val="FootnoteText"/>
      </w:pPr>
      <w:r>
        <w:rPr>
          <w:rStyle w:val="FootnoteReference"/>
        </w:rPr>
        <w:footnoteRef/>
      </w:r>
      <w:r w:rsidRPr="00226AF8">
        <w:rPr>
          <w:lang w:val="en-US"/>
        </w:rPr>
        <w:t>https://www.assistancedogsinternational.org/location/sweden/</w:t>
      </w:r>
    </w:p>
  </w:footnote>
  <w:footnote w:id="37">
    <w:p w:rsidR="00AE3684" w:rsidRDefault="00AE3684" w:rsidP="00AE3684">
      <w:pPr>
        <w:pStyle w:val="FootnoteText"/>
      </w:pPr>
      <w:r>
        <w:rPr>
          <w:rStyle w:val="FootnoteReference"/>
        </w:rPr>
        <w:footnoteRef/>
      </w:r>
      <w:r>
        <w:t xml:space="preserve"> </w:t>
      </w:r>
      <w:r w:rsidRPr="00226AF8">
        <w:rPr>
          <w:lang w:val="en-US"/>
        </w:rPr>
        <w:t>https://www.mtm.se/english/products-and-services/braille/</w:t>
      </w:r>
    </w:p>
  </w:footnote>
  <w:footnote w:id="38">
    <w:p w:rsidR="00AE3684" w:rsidRDefault="00AE3684" w:rsidP="00AE3684">
      <w:pPr>
        <w:pStyle w:val="FootnoteText"/>
      </w:pPr>
      <w:r>
        <w:rPr>
          <w:rStyle w:val="FootnoteReference"/>
        </w:rPr>
        <w:footnoteRef/>
      </w:r>
      <w:r>
        <w:t xml:space="preserve"> </w:t>
      </w:r>
      <w:r w:rsidRPr="00365891">
        <w:t xml:space="preserve">Bendixen, K. (2010). Perspective from Denmark: Design for All–Point of </w:t>
      </w:r>
      <w:r>
        <w:t>No</w:t>
      </w:r>
      <w:r w:rsidRPr="00365891">
        <w:t xml:space="preserve"> </w:t>
      </w:r>
      <w:r w:rsidRPr="00365891">
        <w:t>Return!. In 3rd International Conference for Universal Design in Hamamatsu, Japan.</w:t>
      </w:r>
    </w:p>
  </w:footnote>
  <w:footnote w:id="39">
    <w:p w:rsidR="00AE3684" w:rsidRDefault="00AE3684" w:rsidP="00AE3684">
      <w:pPr>
        <w:pStyle w:val="FootnoteText"/>
      </w:pPr>
      <w:r>
        <w:rPr>
          <w:rStyle w:val="FootnoteReference"/>
        </w:rPr>
        <w:footnoteRef/>
      </w:r>
      <w:r>
        <w:t xml:space="preserve"> </w:t>
      </w:r>
      <w:r w:rsidRPr="00096776">
        <w:t xml:space="preserve">Hong, T., Mitchell, P., </w:t>
      </w:r>
      <w:r w:rsidRPr="00096776">
        <w:t xml:space="preserve">Burlutsky, G., </w:t>
      </w:r>
      <w:r>
        <w:t>et. al.</w:t>
      </w:r>
      <w:r w:rsidRPr="00096776">
        <w:t xml:space="preserve"> (2015). Visual impairment and depressive symptoms in an older Australian cohort: longitudinal findings from the blue mountains eye study. British Journal of Ophthalmology, 99(8), 1017-1021.</w:t>
      </w:r>
    </w:p>
  </w:footnote>
  <w:footnote w:id="40">
    <w:p w:rsidR="00AE3684" w:rsidRDefault="00AE3684" w:rsidP="00AE3684">
      <w:pPr>
        <w:pStyle w:val="FootnoteText"/>
      </w:pPr>
      <w:r>
        <w:rPr>
          <w:rStyle w:val="FootnoteReference"/>
        </w:rPr>
        <w:footnoteRef/>
      </w:r>
      <w:r>
        <w:t xml:space="preserve"> </w:t>
      </w:r>
      <w:r w:rsidRPr="004A058C">
        <w:t xml:space="preserve">Orellana, K., </w:t>
      </w:r>
      <w:r w:rsidRPr="004A058C">
        <w:t>Manthorpe, J., &amp; Tinker, A. (2018). Day centres for older people: a systematically conducted scoping review of literature about their benefits, purposes and how they are perceived. Ageing &amp; Society, 1-32.</w:t>
      </w:r>
    </w:p>
  </w:footnote>
  <w:footnote w:id="41">
    <w:p w:rsidR="00AE3684" w:rsidRDefault="00AE3684" w:rsidP="00AE3684">
      <w:pPr>
        <w:pStyle w:val="FootnoteText"/>
      </w:pPr>
      <w:r>
        <w:rPr>
          <w:rStyle w:val="FootnoteReference"/>
        </w:rPr>
        <w:footnoteRef/>
      </w:r>
      <w:r>
        <w:t xml:space="preserve"> </w:t>
      </w:r>
      <w:r w:rsidRPr="005E6C75">
        <w:t>Bundgaard,</w:t>
      </w:r>
      <w:r>
        <w:t xml:space="preserve"> C., </w:t>
      </w:r>
      <w:r w:rsidRPr="005E6C75">
        <w:t>Ekstrand,</w:t>
      </w:r>
      <w:r>
        <w:t xml:space="preserve"> C., </w:t>
      </w:r>
      <w:r w:rsidRPr="005E6C75">
        <w:t>Hännikäinen,</w:t>
      </w:r>
      <w:r>
        <w:t xml:space="preserve"> T., et. al. (January 2018). Braille Teaching and Literacy: A Report for the European Blind Union and European Commission. Copenhagen: Danish Association of the Blind and the International Council for Education of People with Visual Impairment</w:t>
      </w:r>
    </w:p>
  </w:footnote>
  <w:footnote w:id="42">
    <w:p w:rsidR="00AE3684" w:rsidRDefault="00AE3684" w:rsidP="00AE3684">
      <w:pPr>
        <w:pStyle w:val="FootnoteText"/>
      </w:pPr>
      <w:r>
        <w:rPr>
          <w:rStyle w:val="FootnoteReference"/>
        </w:rPr>
        <w:footnoteRef/>
      </w:r>
      <w:r>
        <w:t xml:space="preserve"> </w:t>
      </w:r>
      <w:r w:rsidRPr="005E2E80">
        <w:t>Scientific Foresight Unit</w:t>
      </w:r>
      <w:r>
        <w:t>. (January 2018). Assistive technologies for people with disabilities. Brussels: European Parliamentary Research Service.</w:t>
      </w:r>
    </w:p>
  </w:footnote>
  <w:footnote w:id="43">
    <w:p w:rsidR="00AE3684" w:rsidRDefault="00AE3684" w:rsidP="00AE3684">
      <w:pPr>
        <w:pStyle w:val="FootnoteText"/>
      </w:pPr>
      <w:r>
        <w:rPr>
          <w:rStyle w:val="FootnoteReference"/>
        </w:rPr>
        <w:footnoteRef/>
      </w:r>
      <w:r>
        <w:t xml:space="preserve"> </w:t>
      </w:r>
      <w:r w:rsidRPr="00207FE6">
        <w:t xml:space="preserve">Leonard, V.K., </w:t>
      </w:r>
      <w:r w:rsidRPr="00207FE6">
        <w:t>Jacko, J.A., &amp; Pizzimenti, J.J. (2005, October). An exploratory investigation of handheld computer interaction for older adults with visual impairments. In Proceedings of the 7th international ACM SIGACCESS conference on Computers and accessibility (pp. 12-19). ACM.</w:t>
      </w:r>
    </w:p>
  </w:footnote>
  <w:footnote w:id="44">
    <w:p w:rsidR="00AE3684" w:rsidRDefault="00AE3684" w:rsidP="00AE3684">
      <w:pPr>
        <w:pStyle w:val="FootnoteText"/>
      </w:pPr>
      <w:r>
        <w:rPr>
          <w:rStyle w:val="FootnoteReference"/>
        </w:rPr>
        <w:footnoteRef/>
      </w:r>
      <w:r>
        <w:t xml:space="preserve"> </w:t>
      </w:r>
      <w:r w:rsidRPr="005E6C75">
        <w:t>Hodge, H., Carson, D., Carson, D., Newman, L., &amp; Garrett, J. (2017). Using Internet technologies in rural communities to access services: The views of older people and service providers. Journal of rural studies, 54, 469-478.</w:t>
      </w:r>
    </w:p>
  </w:footnote>
  <w:footnote w:id="45">
    <w:p w:rsidR="00AE3684" w:rsidRDefault="00AE3684" w:rsidP="00AE3684">
      <w:pPr>
        <w:pStyle w:val="FootnoteText"/>
      </w:pPr>
      <w:r>
        <w:rPr>
          <w:rStyle w:val="FootnoteReference"/>
        </w:rPr>
        <w:footnoteRef/>
      </w:r>
      <w:r>
        <w:t xml:space="preserve"> </w:t>
      </w:r>
      <w:r w:rsidRPr="005E6C75">
        <w:t>Keränen, N</w:t>
      </w:r>
      <w:r>
        <w:t>.</w:t>
      </w:r>
      <w:r w:rsidRPr="005E6C75">
        <w:t xml:space="preserve">S., Kangas, M., Immonen, M., </w:t>
      </w:r>
      <w:r>
        <w:t>et. al</w:t>
      </w:r>
      <w:r w:rsidRPr="005E6C75">
        <w:t>. (2017). Use of information and communication technologies among older people with and without frailty: a population-based survey. Journal of medical Internet research, 19(2).</w:t>
      </w:r>
    </w:p>
  </w:footnote>
  <w:footnote w:id="46">
    <w:p w:rsidR="00AE3684" w:rsidRDefault="00AE3684" w:rsidP="00AE3684">
      <w:pPr>
        <w:pStyle w:val="FootnoteText"/>
      </w:pPr>
      <w:r>
        <w:rPr>
          <w:rStyle w:val="FootnoteReference"/>
        </w:rPr>
        <w:footnoteRef/>
      </w:r>
      <w:r>
        <w:t xml:space="preserve"> </w:t>
      </w:r>
      <w:r w:rsidRPr="00D72003">
        <w:t>Okonji, P.E. (2018). Use of computer assistive technologies by older people with sight impairment: Perceived state of access and considerations for adoption. British Journal of Visual Impairment, 36(2), 128-142.</w:t>
      </w:r>
    </w:p>
  </w:footnote>
  <w:footnote w:id="47">
    <w:p w:rsidR="00AE3684" w:rsidRDefault="00AE3684" w:rsidP="00AE3684">
      <w:pPr>
        <w:pStyle w:val="FootnoteText"/>
      </w:pPr>
      <w:r>
        <w:rPr>
          <w:rStyle w:val="FootnoteReference"/>
        </w:rPr>
        <w:footnoteRef/>
      </w:r>
      <w:r>
        <w:t xml:space="preserve"> </w:t>
      </w:r>
      <w:r w:rsidRPr="009310E3">
        <w:t>Mastroianni, J. C., Wray, M. A., Loomis, T. E., &amp; Semple, V. A. (2016). Assessing Self-Rehabilitation Strategies for the Visually Impaired in Denmark.</w:t>
      </w:r>
      <w:r>
        <w:t xml:space="preserve"> Worcester, Mass.: Worcester Polytechnic Institute.</w:t>
      </w:r>
    </w:p>
  </w:footnote>
  <w:footnote w:id="48">
    <w:p w:rsidR="00AE3684" w:rsidRDefault="00AE3684" w:rsidP="00AE3684">
      <w:pPr>
        <w:pStyle w:val="FootnoteText"/>
      </w:pPr>
      <w:r>
        <w:rPr>
          <w:rStyle w:val="FootnoteReference"/>
        </w:rPr>
        <w:footnoteRef/>
      </w:r>
      <w:r>
        <w:t xml:space="preserve"> </w:t>
      </w:r>
      <w:r w:rsidRPr="00682003">
        <w:t>Crews, J. E. (2016). Falls among persons aged≥ 65 years with and without severe vision impairment—United States, 2014. MMWR. Morbidity and mortality weekly report, 65.</w:t>
      </w:r>
    </w:p>
  </w:footnote>
  <w:footnote w:id="49">
    <w:p w:rsidR="00AE3684" w:rsidRDefault="00AE3684" w:rsidP="00AE3684">
      <w:pPr>
        <w:pStyle w:val="FootnoteText"/>
      </w:pPr>
      <w:r>
        <w:rPr>
          <w:rStyle w:val="FootnoteReference"/>
        </w:rPr>
        <w:footnoteRef/>
      </w:r>
      <w:r>
        <w:t xml:space="preserve"> </w:t>
      </w:r>
      <w:r w:rsidRPr="0056293E">
        <w:t xml:space="preserve">Barnett, A., </w:t>
      </w:r>
      <w:r w:rsidRPr="0056293E">
        <w:t xml:space="preserve">Cerin, E., Zhang, C. J., </w:t>
      </w:r>
      <w:r>
        <w:t>et. al</w:t>
      </w:r>
      <w:r w:rsidRPr="0056293E">
        <w:t>. (2016). Associations between the neighbourhood environment characteristics and physical activity in older adults with specific types of chronic conditions: the ALECS cross-sectional study. International Journal of Behavioral Nutrition and Physical Activity, 13(1), 53.</w:t>
      </w:r>
    </w:p>
  </w:footnote>
  <w:footnote w:id="50">
    <w:p w:rsidR="00AE3684" w:rsidRDefault="00AE3684" w:rsidP="00AE3684">
      <w:pPr>
        <w:pStyle w:val="FootnoteText"/>
      </w:pPr>
      <w:r>
        <w:rPr>
          <w:rStyle w:val="FootnoteReference"/>
        </w:rPr>
        <w:footnoteRef/>
      </w:r>
      <w:r>
        <w:t xml:space="preserve"> </w:t>
      </w:r>
      <w:r w:rsidRPr="00FD1294">
        <w:t xml:space="preserve">Shrestha, B. P., </w:t>
      </w:r>
      <w:r w:rsidRPr="00FD1294">
        <w:t>Millonig, A., Hounsell, N. B., &amp; Mcdonald, M. (2017). Review of public transport needs of older people in European context. Journal of population ageing, 10(4), 343-361.</w:t>
      </w:r>
    </w:p>
  </w:footnote>
  <w:footnote w:id="51">
    <w:p w:rsidR="00AE3684" w:rsidRDefault="00AE3684" w:rsidP="00AE3684">
      <w:pPr>
        <w:pStyle w:val="FootnoteText"/>
      </w:pPr>
      <w:r>
        <w:rPr>
          <w:rStyle w:val="FootnoteReference"/>
        </w:rPr>
        <w:footnoteRef/>
      </w:r>
      <w:r>
        <w:t xml:space="preserve"> </w:t>
      </w:r>
      <w:r w:rsidRPr="00033231">
        <w:t xml:space="preserve">Yeung, P., Towers, A., La Grow, S., Philipp, M., </w:t>
      </w:r>
      <w:r w:rsidRPr="00033231">
        <w:t>Alpass, F., &amp; Stephens, C. (2015). Mobility, satisfaction with functional capacity and perceived quality of life (PQOL) in older persons with self-reported visual impairment: the pathway between ability to get around and PQOL. Disability and rehabilitation, 37(2), 113-120.</w:t>
      </w:r>
    </w:p>
  </w:footnote>
  <w:footnote w:id="52">
    <w:p w:rsidR="00AE3684" w:rsidRDefault="00AE3684" w:rsidP="00AE3684">
      <w:pPr>
        <w:pStyle w:val="FootnoteText"/>
      </w:pPr>
      <w:r>
        <w:rPr>
          <w:rStyle w:val="FootnoteReference"/>
        </w:rPr>
        <w:footnoteRef/>
      </w:r>
      <w:r>
        <w:t xml:space="preserve"> </w:t>
      </w:r>
      <w:r w:rsidRPr="00033231">
        <w:t xml:space="preserve">Turano, K. A., Broman, A. T., </w:t>
      </w:r>
      <w:r w:rsidRPr="00033231">
        <w:t xml:space="preserve">Bandeen-Roche, K., </w:t>
      </w:r>
      <w:r>
        <w:t>et. al</w:t>
      </w:r>
      <w:r w:rsidRPr="00033231">
        <w:t>. (2004). Association of visual field loss and mobility performance in older adults: Salisbury Eye Evaluation Study. Optometry and Vision Science, 81(5), 298-307.</w:t>
      </w:r>
    </w:p>
  </w:footnote>
  <w:footnote w:id="53">
    <w:p w:rsidR="00AE3684" w:rsidRDefault="00AE3684" w:rsidP="00AE3684">
      <w:pPr>
        <w:pStyle w:val="FootnoteText"/>
      </w:pPr>
      <w:r>
        <w:rPr>
          <w:rStyle w:val="FootnoteReference"/>
        </w:rPr>
        <w:footnoteRef/>
      </w:r>
      <w:r>
        <w:t xml:space="preserve"> </w:t>
      </w:r>
      <w:r w:rsidRPr="00761A11">
        <w:t xml:space="preserve">Pollock, A., Hazelton, C., Henderson, C. A., </w:t>
      </w:r>
      <w:r>
        <w:t>et. al</w:t>
      </w:r>
      <w:r w:rsidRPr="00761A11">
        <w:t>. (2012). Interventions for age‐related visual problems in patients with stroke. Cochrane Database of Systematic Reviews, (3).</w:t>
      </w:r>
    </w:p>
  </w:footnote>
  <w:footnote w:id="54">
    <w:p w:rsidR="00AE3684" w:rsidRDefault="00AE3684" w:rsidP="00AE3684">
      <w:pPr>
        <w:pStyle w:val="FootnoteText"/>
      </w:pPr>
      <w:r>
        <w:rPr>
          <w:rStyle w:val="FootnoteReference"/>
        </w:rPr>
        <w:footnoteRef/>
      </w:r>
      <w:r>
        <w:t xml:space="preserve"> </w:t>
      </w:r>
      <w:r w:rsidRPr="00096776">
        <w:t xml:space="preserve">Hong, T., Mitchell, P., </w:t>
      </w:r>
      <w:r w:rsidRPr="00096776">
        <w:t>Burlutsky, G., Samarawickrama, C., &amp; Wang, J. J. (2014). Visual impairment and the incidence of falls and fractures among older people: longitudinal findings from the Blue Mountains Eye Study. Investigative ophthalmology &amp; visual science, 55(11), 7589-7593.</w:t>
      </w:r>
    </w:p>
  </w:footnote>
  <w:footnote w:id="55">
    <w:p w:rsidR="00AE3684" w:rsidRPr="00096776" w:rsidRDefault="00AE3684" w:rsidP="00AE3684">
      <w:pPr>
        <w:pStyle w:val="FootnoteText"/>
        <w:rPr>
          <w:rFonts w:cstheme="minorHAnsi"/>
        </w:rPr>
      </w:pPr>
      <w:r w:rsidRPr="00096776">
        <w:rPr>
          <w:rStyle w:val="FootnoteReference"/>
          <w:rFonts w:cstheme="minorHAnsi"/>
        </w:rPr>
        <w:footnoteRef/>
      </w:r>
      <w:r w:rsidRPr="00096776">
        <w:rPr>
          <w:rFonts w:cstheme="minorHAnsi"/>
        </w:rPr>
        <w:t xml:space="preserve"> </w:t>
      </w:r>
      <w:r w:rsidRPr="00096776">
        <w:rPr>
          <w:rFonts w:cstheme="minorHAnsi"/>
        </w:rPr>
        <w:t>Menz, H. B., Lord, S. R., &amp; Fitzpatrick, R. C. (2003). Age‐related differences in walking stability. Age and ageing, 32(2), 137-142.</w:t>
      </w:r>
    </w:p>
  </w:footnote>
  <w:footnote w:id="56">
    <w:p w:rsidR="00AE3684" w:rsidRDefault="00AE3684" w:rsidP="00AE3684">
      <w:pPr>
        <w:pStyle w:val="FootnoteText"/>
      </w:pPr>
      <w:r>
        <w:rPr>
          <w:rStyle w:val="FootnoteReference"/>
        </w:rPr>
        <w:footnoteRef/>
      </w:r>
      <w:r>
        <w:t xml:space="preserve"> </w:t>
      </w:r>
      <w:r w:rsidRPr="00A46AB5">
        <w:t>Phoenix, C., Griffin, M., &amp; Smith, B. (2015). Physical activity among older people with sight loss: a qualitative research study to inform policy and practice. Public health, 129(2), 124-130.</w:t>
      </w:r>
    </w:p>
  </w:footnote>
  <w:footnote w:id="57">
    <w:p w:rsidR="00AE3684" w:rsidRDefault="00AE3684" w:rsidP="00AE3684">
      <w:pPr>
        <w:pStyle w:val="FootnoteText"/>
      </w:pPr>
      <w:r>
        <w:rPr>
          <w:rStyle w:val="FootnoteReference"/>
        </w:rPr>
        <w:footnoteRef/>
      </w:r>
      <w:r>
        <w:t xml:space="preserve"> </w:t>
      </w:r>
      <w:r w:rsidRPr="0056293E">
        <w:t xml:space="preserve">Ribeiro, M. V. M. R., Júnior, H. R., Nogueira, H., </w:t>
      </w:r>
      <w:r>
        <w:t>et. al.</w:t>
      </w:r>
      <w:r w:rsidRPr="0056293E">
        <w:t xml:space="preserve"> (2015). Association between visual impairment and depression in the elderly: a systematic review. </w:t>
      </w:r>
      <w:r w:rsidRPr="0056293E">
        <w:t>Arquivos brasileiros de oftalmologia, 78(3), 197-201.</w:t>
      </w:r>
    </w:p>
  </w:footnote>
  <w:footnote w:id="58">
    <w:p w:rsidR="00AE3684" w:rsidRDefault="00AE3684" w:rsidP="00AE3684">
      <w:pPr>
        <w:pStyle w:val="FootnoteText"/>
      </w:pPr>
      <w:r>
        <w:rPr>
          <w:rStyle w:val="FootnoteReference"/>
        </w:rPr>
        <w:footnoteRef/>
      </w:r>
      <w:r>
        <w:t xml:space="preserve"> </w:t>
      </w:r>
      <w:r>
        <w:t>SenseAge. (no date). Stakeholders and policies having an impact at EU &amp;</w:t>
      </w:r>
    </w:p>
    <w:p w:rsidR="00AE3684" w:rsidRDefault="00AE3684" w:rsidP="00AE3684">
      <w:pPr>
        <w:pStyle w:val="FootnoteText"/>
      </w:pPr>
      <w:r>
        <w:t xml:space="preserve">National level on ageing persons with sensory impairments. </w:t>
      </w:r>
      <w:r w:rsidRPr="004F6A19">
        <w:t>E</w:t>
      </w:r>
      <w:r>
        <w:t>uropean</w:t>
      </w:r>
      <w:r w:rsidRPr="004F6A19">
        <w:t xml:space="preserve"> A</w:t>
      </w:r>
      <w:r>
        <w:t>ssociation</w:t>
      </w:r>
      <w:r w:rsidRPr="004F6A19">
        <w:t xml:space="preserve"> </w:t>
      </w:r>
      <w:r>
        <w:t>of</w:t>
      </w:r>
      <w:r w:rsidRPr="004F6A19">
        <w:t xml:space="preserve"> S</w:t>
      </w:r>
      <w:r>
        <w:t>ervice</w:t>
      </w:r>
      <w:r w:rsidRPr="004F6A19">
        <w:t xml:space="preserve"> P</w:t>
      </w:r>
      <w:r>
        <w:t>roviders</w:t>
      </w:r>
      <w:r w:rsidRPr="004F6A19">
        <w:t xml:space="preserve"> </w:t>
      </w:r>
      <w:r>
        <w:t>for</w:t>
      </w:r>
      <w:r w:rsidRPr="004F6A19">
        <w:t xml:space="preserve"> P</w:t>
      </w:r>
      <w:r>
        <w:t>ersons</w:t>
      </w:r>
      <w:r w:rsidRPr="004F6A19">
        <w:t xml:space="preserve"> </w:t>
      </w:r>
      <w:r>
        <w:t>with</w:t>
      </w:r>
      <w:r w:rsidRPr="004F6A19">
        <w:t xml:space="preserve"> D</w:t>
      </w:r>
      <w:r>
        <w:t>isabilities.</w:t>
      </w:r>
    </w:p>
  </w:footnote>
  <w:footnote w:id="59">
    <w:p w:rsidR="00AE3684" w:rsidRDefault="00AE3684" w:rsidP="00AE3684">
      <w:pPr>
        <w:pStyle w:val="FootnoteText"/>
      </w:pPr>
      <w:r>
        <w:rPr>
          <w:rStyle w:val="FootnoteReference"/>
        </w:rPr>
        <w:footnoteRef/>
      </w:r>
      <w:r>
        <w:t xml:space="preserve"> Frost, H., Haw S. &amp; Frank J. (2010). </w:t>
      </w:r>
      <w:r w:rsidRPr="003B08C7">
        <w:t>Promoting Health and Wellbeing in Later Life. Interventions in Primary Care and Community Settings.</w:t>
      </w:r>
      <w:r>
        <w:t xml:space="preserve"> Edinburgh: </w:t>
      </w:r>
      <w:r w:rsidRPr="003B08C7">
        <w:t>Scottish Collaboration for Public Health Research and Policy</w:t>
      </w:r>
      <w:r>
        <w:t>.</w:t>
      </w:r>
    </w:p>
  </w:footnote>
  <w:footnote w:id="60">
    <w:p w:rsidR="00AE3684" w:rsidRDefault="00AE3684" w:rsidP="00AE3684">
      <w:pPr>
        <w:adjustRightInd w:val="0"/>
        <w:rPr>
          <w:rFonts w:cstheme="minorHAnsi"/>
          <w:sz w:val="18"/>
          <w:szCs w:val="18"/>
        </w:rPr>
      </w:pPr>
      <w:r w:rsidRPr="00030BE8">
        <w:rPr>
          <w:rStyle w:val="FootnoteReference"/>
          <w:rFonts w:cstheme="minorHAnsi"/>
        </w:rPr>
        <w:footnoteRef/>
      </w:r>
      <w:r w:rsidRPr="00030BE8">
        <w:rPr>
          <w:rFonts w:cstheme="minorHAnsi"/>
        </w:rPr>
        <w:t xml:space="preserve"> </w:t>
      </w:r>
      <w:r w:rsidRPr="00030BE8">
        <w:rPr>
          <w:rFonts w:cstheme="minorHAnsi"/>
          <w:sz w:val="18"/>
          <w:szCs w:val="18"/>
        </w:rPr>
        <w:t>Hayhoe, S. (2016). The epistemological model of disability, and its role in understanding passive exclusion in eighteenth &amp; nineteenth century protestant educational asylums. International Journal of Christianity and Education, 20(1), 49–66</w:t>
      </w:r>
      <w:r>
        <w:rPr>
          <w:rFonts w:cstheme="minorHAnsi"/>
          <w:sz w:val="18"/>
          <w:szCs w:val="18"/>
        </w:rPr>
        <w:t>.;</w:t>
      </w:r>
    </w:p>
    <w:p w:rsidR="00AE3684" w:rsidRPr="00030BE8" w:rsidRDefault="00AE3684" w:rsidP="00AE3684">
      <w:pPr>
        <w:adjustRightInd w:val="0"/>
        <w:rPr>
          <w:rFonts w:cstheme="minorHAnsi"/>
          <w:sz w:val="18"/>
          <w:szCs w:val="18"/>
        </w:rPr>
      </w:pPr>
      <w:r w:rsidRPr="00030BE8">
        <w:rPr>
          <w:rFonts w:cstheme="minorHAnsi"/>
          <w:sz w:val="18"/>
          <w:szCs w:val="18"/>
        </w:rPr>
        <w:t>Hayhoe, S. (2015). Philosophy as disability &amp; exclusion. Charlotte, NC:</w:t>
      </w:r>
      <w:r>
        <w:rPr>
          <w:rFonts w:cstheme="minorHAnsi"/>
          <w:sz w:val="18"/>
          <w:szCs w:val="18"/>
        </w:rPr>
        <w:t xml:space="preserve"> </w:t>
      </w:r>
      <w:r w:rsidRPr="00030BE8">
        <w:rPr>
          <w:rFonts w:cstheme="minorHAnsi"/>
          <w:sz w:val="18"/>
          <w:szCs w:val="18"/>
        </w:rPr>
        <w:t>Information Age Publishing.</w:t>
      </w:r>
    </w:p>
  </w:footnote>
  <w:footnote w:id="61">
    <w:p w:rsidR="00AE3684" w:rsidRDefault="00AE3684" w:rsidP="00AE3684">
      <w:pPr>
        <w:pStyle w:val="FootnoteText"/>
      </w:pPr>
      <w:r>
        <w:rPr>
          <w:rStyle w:val="FootnoteReference"/>
        </w:rPr>
        <w:footnoteRef/>
      </w:r>
      <w:r>
        <w:t xml:space="preserve"> </w:t>
      </w:r>
      <w:r w:rsidRPr="00E23470">
        <w:t>Hayhoe, S</w:t>
      </w:r>
      <w:r>
        <w:t xml:space="preserve">. </w:t>
      </w:r>
      <w:r w:rsidRPr="00E23470">
        <w:t>(2014)</w:t>
      </w:r>
      <w:r>
        <w:t>.</w:t>
      </w:r>
      <w:r w:rsidRPr="00E23470">
        <w:t xml:space="preserve"> The need for inclusive accessible technologies for students with disabilities and learning difficulties. In</w:t>
      </w:r>
      <w:r>
        <w:t xml:space="preserve">, </w:t>
      </w:r>
      <w:r w:rsidRPr="00E23470">
        <w:t xml:space="preserve">Burke, L., (ed.) Learning in a Digitalized Age: Plugged in, </w:t>
      </w:r>
      <w:r w:rsidRPr="00E23470">
        <w:t>Turned on, Totally Engaged? Melton, UK</w:t>
      </w:r>
      <w:r>
        <w:t>:</w:t>
      </w:r>
      <w:r w:rsidRPr="00E23470">
        <w:t xml:space="preserve"> John Catt Educational Publishing, pp. 257-274.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3684" w:rsidRDefault="00AE3684">
    <w:pPr>
      <w:pStyle w:val="BodyText"/>
      <w:spacing w:line="14" w:lineRule="auto"/>
      <w:rPr>
        <w:sz w:val="20"/>
      </w:rPr>
    </w:pPr>
    <w:r>
      <w:rPr>
        <w:noProof/>
      </w:rPr>
      <mc:AlternateContent>
        <mc:Choice Requires="wps">
          <w:drawing>
            <wp:anchor distT="0" distB="0" distL="114300" distR="114300" simplePos="0" relativeHeight="503304368" behindDoc="1" locked="0" layoutInCell="1" allowOverlap="1">
              <wp:simplePos x="0" y="0"/>
              <wp:positionH relativeFrom="page">
                <wp:posOffset>552261</wp:posOffset>
              </wp:positionH>
              <wp:positionV relativeFrom="page">
                <wp:posOffset>488887</wp:posOffset>
              </wp:positionV>
              <wp:extent cx="6844420" cy="234315"/>
              <wp:effectExtent l="0" t="0" r="1270" b="6985"/>
              <wp:wrapNone/>
              <wp:docPr id="5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4442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3684" w:rsidRPr="00F21B3D" w:rsidRDefault="00AE3684">
                          <w:pPr>
                            <w:spacing w:before="13"/>
                            <w:ind w:left="40"/>
                            <w:rPr>
                              <w:rFonts w:ascii="Roboto"/>
                              <w:b/>
                              <w:color w:val="D82332"/>
                              <w:sz w:val="25"/>
                              <w:szCs w:val="25"/>
                            </w:rPr>
                          </w:pPr>
                          <w:r w:rsidRPr="00F21B3D">
                            <w:rPr>
                              <w:rFonts w:ascii="Roboto" w:hAnsi="Roboto"/>
                              <w:color w:val="D82332"/>
                              <w:sz w:val="25"/>
                              <w:szCs w:val="25"/>
                            </w:rPr>
                            <w:fldChar w:fldCharType="begin"/>
                          </w:r>
                          <w:r w:rsidRPr="00F21B3D">
                            <w:rPr>
                              <w:rFonts w:ascii="Roboto" w:hAnsi="Roboto"/>
                              <w:color w:val="D82332"/>
                              <w:sz w:val="25"/>
                              <w:szCs w:val="25"/>
                            </w:rPr>
                            <w:instrText xml:space="preserve"> PAGE </w:instrText>
                          </w:r>
                          <w:r w:rsidRPr="00F21B3D">
                            <w:rPr>
                              <w:rFonts w:ascii="Roboto" w:hAnsi="Roboto"/>
                              <w:color w:val="D82332"/>
                              <w:sz w:val="25"/>
                              <w:szCs w:val="25"/>
                            </w:rPr>
                            <w:fldChar w:fldCharType="separate"/>
                          </w:r>
                          <w:r w:rsidRPr="00F21B3D">
                            <w:rPr>
                              <w:rFonts w:ascii="Roboto" w:hAnsi="Roboto"/>
                              <w:color w:val="D82332"/>
                              <w:sz w:val="25"/>
                              <w:szCs w:val="25"/>
                            </w:rPr>
                            <w:t>2</w:t>
                          </w:r>
                          <w:r w:rsidRPr="00F21B3D">
                            <w:rPr>
                              <w:rFonts w:ascii="Roboto" w:hAnsi="Roboto"/>
                              <w:color w:val="D82332"/>
                              <w:sz w:val="25"/>
                              <w:szCs w:val="25"/>
                            </w:rPr>
                            <w:fldChar w:fldCharType="end"/>
                          </w:r>
                          <w:r>
                            <w:rPr>
                              <w:rFonts w:ascii="Roboto" w:hAnsi="Roboto" w:cs="Arial"/>
                              <w:b/>
                              <w:color w:val="D82332"/>
                              <w:sz w:val="25"/>
                              <w:szCs w:val="25"/>
                            </w:rPr>
                            <w:t xml:space="preserve">          </w:t>
                          </w:r>
                          <w:r w:rsidRPr="006C3265">
                            <w:rPr>
                              <w:rFonts w:ascii="Roboto" w:hAnsi="Roboto" w:cs="Arial"/>
                              <w:b/>
                              <w:color w:val="D82332"/>
                              <w:sz w:val="25"/>
                              <w:szCs w:val="25"/>
                            </w:rPr>
                            <w:t>Report on Older Adult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30" type="#_x0000_t202" style="position:absolute;margin-left:43.5pt;margin-top:38.5pt;width:538.95pt;height:18.45pt;z-index:-1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" filled="f" stroked="f">
              <v:path arrowok="t"/>
              <v:textbox inset="0,0,0,0">
                <w:txbxContent>
                  <w:p w:rsidR="00AE3684" w:rsidRPr="00F21B3D" w:rsidRDefault="00AE3684">
                    <w:pPr>
                      <w:spacing w:before="13"/>
                      <w:ind w:left="40"/>
                      <w:rPr>
                        <w:rFonts w:ascii="Roboto"/>
                        <w:b/>
                        <w:color w:val="D82332"/>
                        <w:sz w:val="25"/>
                        <w:szCs w:val="25"/>
                      </w:rPr>
                    </w:pPr>
                    <w:r w:rsidRPr="00F21B3D">
                      <w:rPr>
                        <w:rFonts w:ascii="Roboto" w:hAnsi="Roboto"/>
                        <w:color w:val="D82332"/>
                        <w:sz w:val="25"/>
                        <w:szCs w:val="25"/>
                      </w:rPr>
                      <w:fldChar w:fldCharType="begin"/>
                    </w:r>
                    <w:r w:rsidRPr="00F21B3D">
                      <w:rPr>
                        <w:rFonts w:ascii="Roboto" w:hAnsi="Roboto"/>
                        <w:color w:val="D82332"/>
                        <w:sz w:val="25"/>
                        <w:szCs w:val="25"/>
                      </w:rPr>
                      <w:instrText xml:space="preserve"> PAGE </w:instrText>
                    </w:r>
                    <w:r w:rsidRPr="00F21B3D">
                      <w:rPr>
                        <w:rFonts w:ascii="Roboto" w:hAnsi="Roboto"/>
                        <w:color w:val="D82332"/>
                        <w:sz w:val="25"/>
                        <w:szCs w:val="25"/>
                      </w:rPr>
                      <w:fldChar w:fldCharType="separate"/>
                    </w:r>
                    <w:r w:rsidRPr="00F21B3D">
                      <w:rPr>
                        <w:rFonts w:ascii="Roboto" w:hAnsi="Roboto"/>
                        <w:color w:val="D82332"/>
                        <w:sz w:val="25"/>
                        <w:szCs w:val="25"/>
                      </w:rPr>
                      <w:t>2</w:t>
                    </w:r>
                    <w:r w:rsidRPr="00F21B3D">
                      <w:rPr>
                        <w:rFonts w:ascii="Roboto" w:hAnsi="Roboto"/>
                        <w:color w:val="D82332"/>
                        <w:sz w:val="25"/>
                        <w:szCs w:val="25"/>
                      </w:rPr>
                      <w:fldChar w:fldCharType="end"/>
                    </w:r>
                    <w:r>
                      <w:rPr>
                        <w:rFonts w:ascii="Roboto" w:hAnsi="Roboto" w:cs="Arial"/>
                        <w:b/>
                        <w:color w:val="D82332"/>
                        <w:sz w:val="25"/>
                        <w:szCs w:val="25"/>
                      </w:rPr>
                      <w:t xml:space="preserve">          </w:t>
                    </w:r>
                    <w:r w:rsidRPr="006C3265">
                      <w:rPr>
                        <w:rFonts w:ascii="Roboto" w:hAnsi="Roboto" w:cs="Arial"/>
                        <w:b/>
                        <w:color w:val="D82332"/>
                        <w:sz w:val="25"/>
                        <w:szCs w:val="25"/>
                      </w:rPr>
                      <w:t>Report on Older Adult Services</w:t>
                    </w:r>
                  </w:p>
                </w:txbxContent>
              </v:textbox>
              <w10:wrap anchorx="page" anchory="page"/>
            </v:shape>
          </w:pict>
        </mc:Fallback>
      </mc:AlternateContent>
    </w:r>
    <w:r>
      <w:rPr>
        <w:noProof/>
      </w:rPr>
      <mc:AlternateContent>
        <mc:Choice Requires="wps">
          <w:drawing>
            <wp:anchor distT="0" distB="0" distL="114300" distR="114300" simplePos="0" relativeHeight="503304344" behindDoc="1" locked="0" layoutInCell="1" allowOverlap="1">
              <wp:simplePos x="0" y="0"/>
              <wp:positionH relativeFrom="page">
                <wp:posOffset>0</wp:posOffset>
              </wp:positionH>
              <wp:positionV relativeFrom="page">
                <wp:posOffset>0</wp:posOffset>
              </wp:positionV>
              <wp:extent cx="7560310" cy="864235"/>
              <wp:effectExtent l="0" t="0" r="0" b="0"/>
              <wp:wrapNone/>
              <wp:docPr id="5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864235"/>
                      </a:xfrm>
                      <a:prstGeom prst="rect">
                        <a:avLst/>
                      </a:prstGeom>
                      <a:no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A740C7" id="Rectangle 5" o:spid="_x0000_s1026" style="position:absolute;margin-left:0;margin-top:0;width:595.3pt;height:68.05pt;z-index:-12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" filled="f" stroked="f">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3684" w:rsidRDefault="00AE3684">
    <w:pPr>
      <w:pStyle w:val="BodyText"/>
      <w:spacing w:line="14" w:lineRule="auto"/>
      <w:rPr>
        <w:sz w:val="20"/>
      </w:rPr>
    </w:pPr>
    <w:r>
      <w:rPr>
        <w:noProof/>
      </w:rPr>
      <mc:AlternateContent>
        <mc:Choice Requires="wps">
          <w:drawing>
            <wp:anchor distT="0" distB="0" distL="114300" distR="114300" simplePos="0" relativeHeight="503304416" behindDoc="1" locked="0" layoutInCell="1" allowOverlap="1">
              <wp:simplePos x="0" y="0"/>
              <wp:positionH relativeFrom="page">
                <wp:posOffset>3395049</wp:posOffset>
              </wp:positionH>
              <wp:positionV relativeFrom="page">
                <wp:posOffset>488887</wp:posOffset>
              </wp:positionV>
              <wp:extent cx="3612093" cy="234315"/>
              <wp:effectExtent l="0" t="0" r="7620" b="6985"/>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2093"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3684" w:rsidRPr="00F21B3D" w:rsidRDefault="007E761E" w:rsidP="00F940FC">
                          <w:pPr>
                            <w:spacing w:before="13"/>
                            <w:jc w:val="right"/>
                            <w:rPr>
                              <w:rFonts w:ascii="Roboto"/>
                              <w:b/>
                              <w:color w:val="D82332"/>
                              <w:sz w:val="25"/>
                              <w:szCs w:val="25"/>
                            </w:rPr>
                          </w:pPr>
                          <w:r w:rsidRPr="006C3265">
                            <w:rPr>
                              <w:rFonts w:ascii="Roboto" w:hAnsi="Roboto" w:cs="Arial"/>
                              <w:b/>
                              <w:color w:val="D82332"/>
                              <w:sz w:val="25"/>
                              <w:szCs w:val="25"/>
                            </w:rPr>
                            <w:t>National Council for the Blind of Ireland</w:t>
                          </w:r>
                          <w:r w:rsidR="00AE3684" w:rsidRPr="00F21B3D">
                            <w:rPr>
                              <w:rFonts w:ascii="Roboto" w:hAnsi="Roboto" w:cs="Arial"/>
                              <w:b/>
                              <w:color w:val="D82332"/>
                              <w:sz w:val="25"/>
                              <w:szCs w:val="25"/>
                            </w:rPr>
                            <w:t xml:space="preserve">          </w:t>
                          </w:r>
                          <w:r w:rsidR="00AE3684" w:rsidRPr="00F21B3D">
                            <w:rPr>
                              <w:rFonts w:ascii="Roboto" w:hAnsi="Roboto"/>
                              <w:color w:val="D82332"/>
                              <w:sz w:val="25"/>
                              <w:szCs w:val="25"/>
                            </w:rPr>
                            <w:fldChar w:fldCharType="begin"/>
                          </w:r>
                          <w:r w:rsidR="00AE3684" w:rsidRPr="00F21B3D">
                            <w:rPr>
                              <w:rFonts w:ascii="Roboto" w:hAnsi="Roboto"/>
                              <w:color w:val="D82332"/>
                              <w:sz w:val="25"/>
                              <w:szCs w:val="25"/>
                            </w:rPr>
                            <w:instrText xml:space="preserve"> PAGE </w:instrText>
                          </w:r>
                          <w:r w:rsidR="00AE3684" w:rsidRPr="00F21B3D">
                            <w:rPr>
                              <w:rFonts w:ascii="Roboto" w:hAnsi="Roboto"/>
                              <w:color w:val="D82332"/>
                              <w:sz w:val="25"/>
                              <w:szCs w:val="25"/>
                            </w:rPr>
                            <w:fldChar w:fldCharType="separate"/>
                          </w:r>
                          <w:r w:rsidR="00AE3684" w:rsidRPr="00F21B3D">
                            <w:rPr>
                              <w:rFonts w:ascii="Roboto" w:hAnsi="Roboto"/>
                              <w:color w:val="D82332"/>
                              <w:sz w:val="25"/>
                              <w:szCs w:val="25"/>
                            </w:rPr>
                            <w:t>3</w:t>
                          </w:r>
                          <w:r w:rsidR="00AE3684" w:rsidRPr="00F21B3D">
                            <w:rPr>
                              <w:rFonts w:ascii="Roboto" w:hAnsi="Roboto"/>
                              <w:color w:val="D82332"/>
                              <w:sz w:val="25"/>
                              <w:szCs w:val="2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267.35pt;margin-top:38.5pt;width:284.4pt;height:18.45pt;z-index:-1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" filled="f" stroked="f">
              <v:path arrowok="t"/>
              <v:textbox inset="0,0,0,0">
                <w:txbxContent>
                  <w:p w:rsidR="00AE3684" w:rsidRPr="00F21B3D" w:rsidRDefault="007E761E" w:rsidP="00F940FC">
                    <w:pPr>
                      <w:spacing w:before="13"/>
                      <w:jc w:val="right"/>
                      <w:rPr>
                        <w:rFonts w:ascii="Roboto"/>
                        <w:b/>
                        <w:color w:val="D82332"/>
                        <w:sz w:val="25"/>
                        <w:szCs w:val="25"/>
                      </w:rPr>
                    </w:pPr>
                    <w:r w:rsidRPr="006C3265">
                      <w:rPr>
                        <w:rFonts w:ascii="Roboto" w:hAnsi="Roboto" w:cs="Arial"/>
                        <w:b/>
                        <w:color w:val="D82332"/>
                        <w:sz w:val="25"/>
                        <w:szCs w:val="25"/>
                      </w:rPr>
                      <w:t>National Council for the Blind of Ireland</w:t>
                    </w:r>
                    <w:r w:rsidR="00AE3684" w:rsidRPr="00F21B3D">
                      <w:rPr>
                        <w:rFonts w:ascii="Roboto" w:hAnsi="Roboto" w:cs="Arial"/>
                        <w:b/>
                        <w:color w:val="D82332"/>
                        <w:sz w:val="25"/>
                        <w:szCs w:val="25"/>
                      </w:rPr>
                      <w:t xml:space="preserve">          </w:t>
                    </w:r>
                    <w:r w:rsidR="00AE3684" w:rsidRPr="00F21B3D">
                      <w:rPr>
                        <w:rFonts w:ascii="Roboto" w:hAnsi="Roboto"/>
                        <w:color w:val="D82332"/>
                        <w:sz w:val="25"/>
                        <w:szCs w:val="25"/>
                      </w:rPr>
                      <w:fldChar w:fldCharType="begin"/>
                    </w:r>
                    <w:r w:rsidR="00AE3684" w:rsidRPr="00F21B3D">
                      <w:rPr>
                        <w:rFonts w:ascii="Roboto" w:hAnsi="Roboto"/>
                        <w:color w:val="D82332"/>
                        <w:sz w:val="25"/>
                        <w:szCs w:val="25"/>
                      </w:rPr>
                      <w:instrText xml:space="preserve"> PAGE </w:instrText>
                    </w:r>
                    <w:r w:rsidR="00AE3684" w:rsidRPr="00F21B3D">
                      <w:rPr>
                        <w:rFonts w:ascii="Roboto" w:hAnsi="Roboto"/>
                        <w:color w:val="D82332"/>
                        <w:sz w:val="25"/>
                        <w:szCs w:val="25"/>
                      </w:rPr>
                      <w:fldChar w:fldCharType="separate"/>
                    </w:r>
                    <w:r w:rsidR="00AE3684" w:rsidRPr="00F21B3D">
                      <w:rPr>
                        <w:rFonts w:ascii="Roboto" w:hAnsi="Roboto"/>
                        <w:color w:val="D82332"/>
                        <w:sz w:val="25"/>
                        <w:szCs w:val="25"/>
                      </w:rPr>
                      <w:t>3</w:t>
                    </w:r>
                    <w:r w:rsidR="00AE3684" w:rsidRPr="00F21B3D">
                      <w:rPr>
                        <w:rFonts w:ascii="Roboto" w:hAnsi="Roboto"/>
                        <w:color w:val="D82332"/>
                        <w:sz w:val="25"/>
                        <w:szCs w:val="25"/>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503304392" behindDoc="1" locked="0" layoutInCell="1" allowOverlap="1">
              <wp:simplePos x="0" y="0"/>
              <wp:positionH relativeFrom="page">
                <wp:posOffset>0</wp:posOffset>
              </wp:positionH>
              <wp:positionV relativeFrom="page">
                <wp:posOffset>0</wp:posOffset>
              </wp:positionV>
              <wp:extent cx="7560310" cy="864235"/>
              <wp:effectExtent l="0" t="0" r="0" b="0"/>
              <wp:wrapNone/>
              <wp:docPr id="5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864235"/>
                      </a:xfrm>
                      <a:prstGeom prst="rect">
                        <a:avLst/>
                      </a:prstGeom>
                      <a:no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E8313" id="Rectangle 3" o:spid="_x0000_s1026" style="position:absolute;margin-left:0;margin-top:0;width:595.3pt;height:68.05pt;z-index:-12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" filled="f" stroked="f">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E3684" w:rsidRDefault="00AE3684">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251D4"/>
    <w:multiLevelType w:val="hybridMultilevel"/>
    <w:tmpl w:val="020E52CA"/>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D0D51FC"/>
    <w:multiLevelType w:val="hybridMultilevel"/>
    <w:tmpl w:val="CB0E61C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5D41198"/>
    <w:multiLevelType w:val="hybridMultilevel"/>
    <w:tmpl w:val="6F765CE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1FD2D39"/>
    <w:multiLevelType w:val="hybridMultilevel"/>
    <w:tmpl w:val="4714182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26E1334"/>
    <w:multiLevelType w:val="hybridMultilevel"/>
    <w:tmpl w:val="EB2A3860"/>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A7513DD"/>
    <w:multiLevelType w:val="hybridMultilevel"/>
    <w:tmpl w:val="4E04734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DF676B4"/>
    <w:multiLevelType w:val="hybridMultilevel"/>
    <w:tmpl w:val="A04C12B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9FA682E"/>
    <w:multiLevelType w:val="hybridMultilevel"/>
    <w:tmpl w:val="068205A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C2E4009"/>
    <w:multiLevelType w:val="hybridMultilevel"/>
    <w:tmpl w:val="B848401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528F06FE"/>
    <w:multiLevelType w:val="hybridMultilevel"/>
    <w:tmpl w:val="C958C96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57AF23CD"/>
    <w:multiLevelType w:val="hybridMultilevel"/>
    <w:tmpl w:val="6E02D81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69AB0042"/>
    <w:multiLevelType w:val="hybridMultilevel"/>
    <w:tmpl w:val="49C8FD4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741C2BDD"/>
    <w:multiLevelType w:val="hybridMultilevel"/>
    <w:tmpl w:val="FB7203CA"/>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796902FF"/>
    <w:multiLevelType w:val="hybridMultilevel"/>
    <w:tmpl w:val="27F09A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4"/>
  </w:num>
  <w:num w:numId="3">
    <w:abstractNumId w:val="1"/>
  </w:num>
  <w:num w:numId="4">
    <w:abstractNumId w:val="10"/>
  </w:num>
  <w:num w:numId="5">
    <w:abstractNumId w:val="11"/>
  </w:num>
  <w:num w:numId="6">
    <w:abstractNumId w:val="2"/>
  </w:num>
  <w:num w:numId="7">
    <w:abstractNumId w:val="0"/>
  </w:num>
  <w:num w:numId="8">
    <w:abstractNumId w:val="5"/>
  </w:num>
  <w:num w:numId="9">
    <w:abstractNumId w:val="7"/>
  </w:num>
  <w:num w:numId="10">
    <w:abstractNumId w:val="9"/>
  </w:num>
  <w:num w:numId="11">
    <w:abstractNumId w:val="6"/>
  </w:num>
  <w:num w:numId="12">
    <w:abstractNumId w:val="13"/>
  </w:num>
  <w:num w:numId="13">
    <w:abstractNumId w:val="12"/>
  </w:num>
  <w:num w:numId="14">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2"/>
  <w:displayBackgroundShape/>
  <w:hideSpellingError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0672"/>
    <w:rsid w:val="000043EA"/>
    <w:rsid w:val="00012F66"/>
    <w:rsid w:val="000147F1"/>
    <w:rsid w:val="0001571D"/>
    <w:rsid w:val="000468C9"/>
    <w:rsid w:val="00071ECE"/>
    <w:rsid w:val="000779E3"/>
    <w:rsid w:val="00082F31"/>
    <w:rsid w:val="0009528A"/>
    <w:rsid w:val="00096F05"/>
    <w:rsid w:val="00097F17"/>
    <w:rsid w:val="000B6C15"/>
    <w:rsid w:val="000C1E5F"/>
    <w:rsid w:val="000C2CBD"/>
    <w:rsid w:val="000D3FCD"/>
    <w:rsid w:val="000D726E"/>
    <w:rsid w:val="000F7021"/>
    <w:rsid w:val="000F729E"/>
    <w:rsid w:val="00117575"/>
    <w:rsid w:val="00130196"/>
    <w:rsid w:val="00131661"/>
    <w:rsid w:val="00133715"/>
    <w:rsid w:val="00140EB0"/>
    <w:rsid w:val="00142E3B"/>
    <w:rsid w:val="00162E22"/>
    <w:rsid w:val="0017171D"/>
    <w:rsid w:val="00174775"/>
    <w:rsid w:val="00186D60"/>
    <w:rsid w:val="00194DFE"/>
    <w:rsid w:val="001C6F18"/>
    <w:rsid w:val="001D2BE1"/>
    <w:rsid w:val="001E0161"/>
    <w:rsid w:val="001E3DAA"/>
    <w:rsid w:val="002109BF"/>
    <w:rsid w:val="002113CC"/>
    <w:rsid w:val="00212CE8"/>
    <w:rsid w:val="00224150"/>
    <w:rsid w:val="002544E5"/>
    <w:rsid w:val="00284552"/>
    <w:rsid w:val="00290C57"/>
    <w:rsid w:val="00292C14"/>
    <w:rsid w:val="002A0581"/>
    <w:rsid w:val="002A2A96"/>
    <w:rsid w:val="002A78F0"/>
    <w:rsid w:val="002F3272"/>
    <w:rsid w:val="0031165C"/>
    <w:rsid w:val="00314F90"/>
    <w:rsid w:val="00346A67"/>
    <w:rsid w:val="00353123"/>
    <w:rsid w:val="003647E7"/>
    <w:rsid w:val="00370640"/>
    <w:rsid w:val="003821E9"/>
    <w:rsid w:val="003940BC"/>
    <w:rsid w:val="00395143"/>
    <w:rsid w:val="003A4148"/>
    <w:rsid w:val="003B0E58"/>
    <w:rsid w:val="003C0481"/>
    <w:rsid w:val="004135D8"/>
    <w:rsid w:val="00414F9C"/>
    <w:rsid w:val="0041552B"/>
    <w:rsid w:val="00455525"/>
    <w:rsid w:val="0047020B"/>
    <w:rsid w:val="00470338"/>
    <w:rsid w:val="004B442E"/>
    <w:rsid w:val="004C489E"/>
    <w:rsid w:val="004E4D79"/>
    <w:rsid w:val="00523C93"/>
    <w:rsid w:val="00523CEB"/>
    <w:rsid w:val="005347D1"/>
    <w:rsid w:val="00541B1A"/>
    <w:rsid w:val="0055370C"/>
    <w:rsid w:val="00570C39"/>
    <w:rsid w:val="00573ACD"/>
    <w:rsid w:val="00574FA0"/>
    <w:rsid w:val="00582BE5"/>
    <w:rsid w:val="00592830"/>
    <w:rsid w:val="00596146"/>
    <w:rsid w:val="00596B53"/>
    <w:rsid w:val="00597ADF"/>
    <w:rsid w:val="005A0DB0"/>
    <w:rsid w:val="005B21A4"/>
    <w:rsid w:val="005C248D"/>
    <w:rsid w:val="005C5D3E"/>
    <w:rsid w:val="005D2B34"/>
    <w:rsid w:val="005E346D"/>
    <w:rsid w:val="00605246"/>
    <w:rsid w:val="00613CB1"/>
    <w:rsid w:val="00634600"/>
    <w:rsid w:val="00663C32"/>
    <w:rsid w:val="00682160"/>
    <w:rsid w:val="006966A7"/>
    <w:rsid w:val="006C3265"/>
    <w:rsid w:val="006C52F6"/>
    <w:rsid w:val="006C546B"/>
    <w:rsid w:val="006C54D7"/>
    <w:rsid w:val="006C5B23"/>
    <w:rsid w:val="006D16D6"/>
    <w:rsid w:val="006D3D65"/>
    <w:rsid w:val="006D72C8"/>
    <w:rsid w:val="006F3B75"/>
    <w:rsid w:val="007052E4"/>
    <w:rsid w:val="00710E8D"/>
    <w:rsid w:val="00713C2E"/>
    <w:rsid w:val="00723A80"/>
    <w:rsid w:val="00731442"/>
    <w:rsid w:val="00731B29"/>
    <w:rsid w:val="00744EF5"/>
    <w:rsid w:val="007623B6"/>
    <w:rsid w:val="007969D9"/>
    <w:rsid w:val="00796E7F"/>
    <w:rsid w:val="007B0B84"/>
    <w:rsid w:val="007B51FB"/>
    <w:rsid w:val="007E761E"/>
    <w:rsid w:val="007F03B4"/>
    <w:rsid w:val="007F332A"/>
    <w:rsid w:val="007F66FC"/>
    <w:rsid w:val="00810898"/>
    <w:rsid w:val="008224C3"/>
    <w:rsid w:val="00845F0D"/>
    <w:rsid w:val="0086356E"/>
    <w:rsid w:val="00864096"/>
    <w:rsid w:val="00864737"/>
    <w:rsid w:val="00870A8E"/>
    <w:rsid w:val="00871016"/>
    <w:rsid w:val="00876152"/>
    <w:rsid w:val="00877FFD"/>
    <w:rsid w:val="0088445A"/>
    <w:rsid w:val="008C3B3C"/>
    <w:rsid w:val="008E1715"/>
    <w:rsid w:val="008E6DA3"/>
    <w:rsid w:val="0091088A"/>
    <w:rsid w:val="00911487"/>
    <w:rsid w:val="00920AA2"/>
    <w:rsid w:val="0092402E"/>
    <w:rsid w:val="00934FFD"/>
    <w:rsid w:val="009446FB"/>
    <w:rsid w:val="00945361"/>
    <w:rsid w:val="00952379"/>
    <w:rsid w:val="00962615"/>
    <w:rsid w:val="00962AF1"/>
    <w:rsid w:val="00963838"/>
    <w:rsid w:val="009706E6"/>
    <w:rsid w:val="00975F79"/>
    <w:rsid w:val="009857C1"/>
    <w:rsid w:val="009919AC"/>
    <w:rsid w:val="00992C39"/>
    <w:rsid w:val="0099310A"/>
    <w:rsid w:val="00996A86"/>
    <w:rsid w:val="009A1D75"/>
    <w:rsid w:val="009B1930"/>
    <w:rsid w:val="009B3EB4"/>
    <w:rsid w:val="009C6A33"/>
    <w:rsid w:val="009D0FE7"/>
    <w:rsid w:val="009D360C"/>
    <w:rsid w:val="009D43F7"/>
    <w:rsid w:val="009D72F6"/>
    <w:rsid w:val="009E250D"/>
    <w:rsid w:val="009F36D9"/>
    <w:rsid w:val="00A15242"/>
    <w:rsid w:val="00A21277"/>
    <w:rsid w:val="00A27A08"/>
    <w:rsid w:val="00A33C74"/>
    <w:rsid w:val="00A36404"/>
    <w:rsid w:val="00A44BA6"/>
    <w:rsid w:val="00A64BE8"/>
    <w:rsid w:val="00A67377"/>
    <w:rsid w:val="00A73334"/>
    <w:rsid w:val="00A85CC2"/>
    <w:rsid w:val="00AA341E"/>
    <w:rsid w:val="00AA574E"/>
    <w:rsid w:val="00AB1908"/>
    <w:rsid w:val="00AC7816"/>
    <w:rsid w:val="00AD790C"/>
    <w:rsid w:val="00AE3684"/>
    <w:rsid w:val="00B06C2A"/>
    <w:rsid w:val="00B11DA3"/>
    <w:rsid w:val="00B3582B"/>
    <w:rsid w:val="00B43CEC"/>
    <w:rsid w:val="00B43E63"/>
    <w:rsid w:val="00B657FC"/>
    <w:rsid w:val="00B87F9B"/>
    <w:rsid w:val="00BA1909"/>
    <w:rsid w:val="00BA66C1"/>
    <w:rsid w:val="00BC315D"/>
    <w:rsid w:val="00BD225B"/>
    <w:rsid w:val="00BF043A"/>
    <w:rsid w:val="00C01D9E"/>
    <w:rsid w:val="00C209A4"/>
    <w:rsid w:val="00C22949"/>
    <w:rsid w:val="00C570FD"/>
    <w:rsid w:val="00C70672"/>
    <w:rsid w:val="00C737D1"/>
    <w:rsid w:val="00C9090F"/>
    <w:rsid w:val="00C94F6A"/>
    <w:rsid w:val="00C95C85"/>
    <w:rsid w:val="00CB0CBD"/>
    <w:rsid w:val="00CB0F05"/>
    <w:rsid w:val="00CE101B"/>
    <w:rsid w:val="00CF62CF"/>
    <w:rsid w:val="00D072AF"/>
    <w:rsid w:val="00D210E3"/>
    <w:rsid w:val="00D34FED"/>
    <w:rsid w:val="00D47525"/>
    <w:rsid w:val="00D643DA"/>
    <w:rsid w:val="00D70749"/>
    <w:rsid w:val="00D93062"/>
    <w:rsid w:val="00DA2C28"/>
    <w:rsid w:val="00DA44F8"/>
    <w:rsid w:val="00DA62CE"/>
    <w:rsid w:val="00DD4FC3"/>
    <w:rsid w:val="00E02EF8"/>
    <w:rsid w:val="00E21E0E"/>
    <w:rsid w:val="00E239F5"/>
    <w:rsid w:val="00E4313B"/>
    <w:rsid w:val="00EB75E2"/>
    <w:rsid w:val="00ED0FC7"/>
    <w:rsid w:val="00ED6F5E"/>
    <w:rsid w:val="00EF5FDE"/>
    <w:rsid w:val="00F21B3D"/>
    <w:rsid w:val="00F26B3F"/>
    <w:rsid w:val="00F32B6A"/>
    <w:rsid w:val="00F53F24"/>
    <w:rsid w:val="00F60E35"/>
    <w:rsid w:val="00F628D4"/>
    <w:rsid w:val="00F7251D"/>
    <w:rsid w:val="00F737AF"/>
    <w:rsid w:val="00F747C7"/>
    <w:rsid w:val="00F77BD4"/>
    <w:rsid w:val="00F81AF8"/>
    <w:rsid w:val="00F940FC"/>
    <w:rsid w:val="00FD7B4D"/>
    <w:rsid w:val="00FE3827"/>
    <w:rsid w:val="00FF113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644932"/>
  <w15:docId w15:val="{93775506-DBB6-5540-99CB-8765A0442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Roboto-Light" w:eastAsia="Roboto-Light" w:hAnsi="Roboto-Light" w:cs="Roboto-Light"/>
    </w:rPr>
  </w:style>
  <w:style w:type="paragraph" w:styleId="Heading1">
    <w:name w:val="heading 1"/>
    <w:basedOn w:val="Normal"/>
    <w:link w:val="Heading1Char"/>
    <w:uiPriority w:val="9"/>
    <w:qFormat/>
    <w:pPr>
      <w:spacing w:before="13"/>
      <w:ind w:left="40"/>
      <w:outlineLvl w:val="0"/>
    </w:pPr>
    <w:rPr>
      <w:rFonts w:ascii="Roboto" w:eastAsia="Roboto" w:hAnsi="Roboto" w:cs="Roboto"/>
      <w:b/>
      <w:bCs/>
      <w:sz w:val="28"/>
      <w:szCs w:val="28"/>
    </w:rPr>
  </w:style>
  <w:style w:type="paragraph" w:styleId="Heading2">
    <w:name w:val="heading 2"/>
    <w:basedOn w:val="Normal"/>
    <w:link w:val="Heading2Char"/>
    <w:uiPriority w:val="99"/>
    <w:qFormat/>
    <w:pPr>
      <w:spacing w:before="95"/>
      <w:ind w:left="1133"/>
      <w:outlineLvl w:val="1"/>
    </w:pPr>
    <w:rPr>
      <w:rFonts w:ascii="Roboto-Black" w:eastAsia="Roboto-Black" w:hAnsi="Roboto-Black" w:cs="Roboto-Black"/>
      <w:b/>
      <w:bCs/>
      <w:sz w:val="26"/>
      <w:szCs w:val="26"/>
    </w:rPr>
  </w:style>
  <w:style w:type="paragraph" w:styleId="Heading3">
    <w:name w:val="heading 3"/>
    <w:basedOn w:val="Normal"/>
    <w:link w:val="Heading3Char"/>
    <w:uiPriority w:val="99"/>
    <w:qFormat/>
    <w:pPr>
      <w:ind w:left="1133"/>
      <w:outlineLvl w:val="2"/>
    </w:pPr>
    <w:rPr>
      <w:rFonts w:ascii="Roboto" w:eastAsia="Roboto" w:hAnsi="Roboto" w:cs="Roboto"/>
      <w:b/>
      <w:bCs/>
    </w:rPr>
  </w:style>
  <w:style w:type="paragraph" w:styleId="Heading4">
    <w:name w:val="heading 4"/>
    <w:basedOn w:val="Normal"/>
    <w:link w:val="Heading4Char"/>
    <w:uiPriority w:val="99"/>
    <w:qFormat/>
    <w:pPr>
      <w:spacing w:before="125"/>
      <w:ind w:left="1700"/>
      <w:outlineLvl w:val="3"/>
    </w:pPr>
    <w:rPr>
      <w:rFonts w:ascii="Roboto" w:eastAsia="Roboto" w:hAnsi="Roboto" w:cs="Roboto"/>
      <w:b/>
      <w:bCs/>
      <w:sz w:val="18"/>
      <w:szCs w:val="18"/>
    </w:rPr>
  </w:style>
  <w:style w:type="paragraph" w:styleId="Heading5">
    <w:name w:val="heading 5"/>
    <w:basedOn w:val="Normal"/>
    <w:next w:val="Normal"/>
    <w:link w:val="Heading5Char"/>
    <w:uiPriority w:val="99"/>
    <w:qFormat/>
    <w:rsid w:val="00AE3684"/>
    <w:pPr>
      <w:adjustRightInd w:val="0"/>
      <w:ind w:left="1224" w:hanging="216"/>
      <w:outlineLvl w:val="4"/>
    </w:pPr>
    <w:rPr>
      <w:rFonts w:ascii="Times New Roman" w:eastAsiaTheme="minorEastAsia" w:hAnsi="Times New Roman" w:cs="Times New Roman"/>
      <w:kern w:val="24"/>
      <w:sz w:val="28"/>
      <w:szCs w:val="2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3684"/>
    <w:rPr>
      <w:rFonts w:ascii="Roboto" w:eastAsia="Roboto" w:hAnsi="Roboto" w:cs="Roboto"/>
      <w:b/>
      <w:bCs/>
      <w:sz w:val="28"/>
      <w:szCs w:val="28"/>
    </w:rPr>
  </w:style>
  <w:style w:type="character" w:customStyle="1" w:styleId="Heading2Char">
    <w:name w:val="Heading 2 Char"/>
    <w:basedOn w:val="DefaultParagraphFont"/>
    <w:link w:val="Heading2"/>
    <w:uiPriority w:val="99"/>
    <w:rsid w:val="00AE3684"/>
    <w:rPr>
      <w:rFonts w:ascii="Roboto-Black" w:eastAsia="Roboto-Black" w:hAnsi="Roboto-Black" w:cs="Roboto-Black"/>
      <w:b/>
      <w:bCs/>
      <w:sz w:val="26"/>
      <w:szCs w:val="26"/>
    </w:rPr>
  </w:style>
  <w:style w:type="character" w:customStyle="1" w:styleId="Heading3Char">
    <w:name w:val="Heading 3 Char"/>
    <w:basedOn w:val="DefaultParagraphFont"/>
    <w:link w:val="Heading3"/>
    <w:uiPriority w:val="99"/>
    <w:rsid w:val="00AE3684"/>
    <w:rPr>
      <w:rFonts w:ascii="Roboto" w:eastAsia="Roboto" w:hAnsi="Roboto" w:cs="Roboto"/>
      <w:b/>
      <w:bCs/>
    </w:rPr>
  </w:style>
  <w:style w:type="character" w:customStyle="1" w:styleId="Heading4Char">
    <w:name w:val="Heading 4 Char"/>
    <w:basedOn w:val="DefaultParagraphFont"/>
    <w:link w:val="Heading4"/>
    <w:uiPriority w:val="99"/>
    <w:rsid w:val="00AE3684"/>
    <w:rPr>
      <w:rFonts w:ascii="Roboto" w:eastAsia="Roboto" w:hAnsi="Roboto" w:cs="Roboto"/>
      <w:b/>
      <w:bCs/>
      <w:sz w:val="18"/>
      <w:szCs w:val="18"/>
    </w:rPr>
  </w:style>
  <w:style w:type="character" w:customStyle="1" w:styleId="Heading5Char">
    <w:name w:val="Heading 5 Char"/>
    <w:basedOn w:val="DefaultParagraphFont"/>
    <w:link w:val="Heading5"/>
    <w:uiPriority w:val="99"/>
    <w:rsid w:val="00AE3684"/>
    <w:rPr>
      <w:rFonts w:ascii="Times New Roman" w:eastAsiaTheme="minorEastAsia" w:hAnsi="Times New Roman" w:cs="Times New Roman"/>
      <w:kern w:val="24"/>
      <w:sz w:val="28"/>
      <w:szCs w:val="28"/>
      <w:lang w:val="en-GB"/>
    </w:rPr>
  </w:style>
  <w:style w:type="paragraph" w:styleId="BodyText">
    <w:name w:val="Body Text"/>
    <w:basedOn w:val="Normal"/>
    <w:link w:val="BodyTextChar"/>
    <w:uiPriority w:val="1"/>
    <w:qFormat/>
    <w:rPr>
      <w:sz w:val="18"/>
      <w:szCs w:val="18"/>
    </w:rPr>
  </w:style>
  <w:style w:type="character" w:customStyle="1" w:styleId="BodyTextChar">
    <w:name w:val="Body Text Char"/>
    <w:basedOn w:val="DefaultParagraphFont"/>
    <w:link w:val="BodyText"/>
    <w:uiPriority w:val="1"/>
    <w:rsid w:val="0088445A"/>
    <w:rPr>
      <w:rFonts w:ascii="Roboto-Light" w:eastAsia="Roboto-Light" w:hAnsi="Roboto-Light" w:cs="Roboto-Light"/>
      <w:sz w:val="18"/>
      <w:szCs w:val="18"/>
    </w:rPr>
  </w:style>
  <w:style w:type="paragraph" w:styleId="ListParagraph">
    <w:name w:val="List Paragraph"/>
    <w:basedOn w:val="Normal"/>
    <w:uiPriority w:val="34"/>
    <w:qFormat/>
    <w:pPr>
      <w:ind w:left="1133"/>
    </w:pPr>
    <w:rPr>
      <w:rFonts w:ascii="Roboto" w:eastAsia="Roboto" w:hAnsi="Roboto" w:cs="Roboto"/>
    </w:r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33C74"/>
    <w:pPr>
      <w:tabs>
        <w:tab w:val="center" w:pos="4513"/>
        <w:tab w:val="right" w:pos="9026"/>
      </w:tabs>
    </w:pPr>
  </w:style>
  <w:style w:type="character" w:customStyle="1" w:styleId="HeaderChar">
    <w:name w:val="Header Char"/>
    <w:basedOn w:val="DefaultParagraphFont"/>
    <w:link w:val="Header"/>
    <w:uiPriority w:val="99"/>
    <w:rsid w:val="00A33C74"/>
    <w:rPr>
      <w:rFonts w:ascii="Roboto-Light" w:eastAsia="Roboto-Light" w:hAnsi="Roboto-Light" w:cs="Roboto-Light"/>
    </w:rPr>
  </w:style>
  <w:style w:type="paragraph" w:styleId="Footer">
    <w:name w:val="footer"/>
    <w:basedOn w:val="Normal"/>
    <w:link w:val="FooterChar"/>
    <w:uiPriority w:val="99"/>
    <w:unhideWhenUsed/>
    <w:rsid w:val="00A33C74"/>
    <w:pPr>
      <w:tabs>
        <w:tab w:val="center" w:pos="4513"/>
        <w:tab w:val="right" w:pos="9026"/>
      </w:tabs>
    </w:pPr>
  </w:style>
  <w:style w:type="character" w:customStyle="1" w:styleId="FooterChar">
    <w:name w:val="Footer Char"/>
    <w:basedOn w:val="DefaultParagraphFont"/>
    <w:link w:val="Footer"/>
    <w:uiPriority w:val="99"/>
    <w:rsid w:val="00A33C74"/>
    <w:rPr>
      <w:rFonts w:ascii="Roboto-Light" w:eastAsia="Roboto-Light" w:hAnsi="Roboto-Light" w:cs="Roboto-Light"/>
    </w:rPr>
  </w:style>
  <w:style w:type="paragraph" w:customStyle="1" w:styleId="Cover-Authors">
    <w:name w:val="&gt; Cover - Authors"/>
    <w:basedOn w:val="Normal"/>
    <w:uiPriority w:val="99"/>
    <w:rsid w:val="007B0B84"/>
    <w:pPr>
      <w:widowControl/>
      <w:suppressAutoHyphens/>
      <w:adjustRightInd w:val="0"/>
      <w:spacing w:after="227" w:line="288" w:lineRule="auto"/>
      <w:textAlignment w:val="center"/>
    </w:pPr>
    <w:rPr>
      <w:rFonts w:ascii="Roboto" w:eastAsiaTheme="minorHAnsi" w:hAnsi="Roboto" w:cs="Roboto"/>
      <w:color w:val="FFFFFF"/>
      <w:spacing w:val="1"/>
      <w:sz w:val="24"/>
      <w:szCs w:val="24"/>
      <w:lang w:val="en-GB"/>
    </w:rPr>
  </w:style>
  <w:style w:type="paragraph" w:customStyle="1" w:styleId="Introcopy">
    <w:name w:val="Intro copy"/>
    <w:basedOn w:val="Normal"/>
    <w:uiPriority w:val="1"/>
    <w:qFormat/>
    <w:rsid w:val="005E346D"/>
    <w:pPr>
      <w:spacing w:before="103" w:after="480" w:line="340" w:lineRule="exact"/>
    </w:pPr>
    <w:rPr>
      <w:color w:val="000000" w:themeColor="text1"/>
      <w:sz w:val="24"/>
    </w:rPr>
  </w:style>
  <w:style w:type="paragraph" w:customStyle="1" w:styleId="Heading">
    <w:name w:val="Heading"/>
    <w:basedOn w:val="Normal"/>
    <w:uiPriority w:val="1"/>
    <w:qFormat/>
    <w:rsid w:val="007B51FB"/>
    <w:pPr>
      <w:spacing w:line="300" w:lineRule="exact"/>
    </w:pPr>
    <w:rPr>
      <w:rFonts w:ascii="Roboto" w:hAnsi="Roboto"/>
      <w:b/>
      <w:color w:val="D82332"/>
      <w:sz w:val="26"/>
    </w:rPr>
  </w:style>
  <w:style w:type="paragraph" w:customStyle="1" w:styleId="Sub-head">
    <w:name w:val="Sub-head"/>
    <w:basedOn w:val="Heading3"/>
    <w:uiPriority w:val="1"/>
    <w:qFormat/>
    <w:rsid w:val="000B6C15"/>
    <w:pPr>
      <w:tabs>
        <w:tab w:val="left" w:pos="747"/>
        <w:tab w:val="left" w:pos="748"/>
      </w:tabs>
      <w:spacing w:before="240" w:line="260" w:lineRule="exact"/>
      <w:ind w:left="0"/>
    </w:pPr>
    <w:rPr>
      <w:color w:val="1A1918"/>
    </w:rPr>
  </w:style>
  <w:style w:type="paragraph" w:customStyle="1" w:styleId="Body-main">
    <w:name w:val="Body - main"/>
    <w:basedOn w:val="BodyText"/>
    <w:uiPriority w:val="1"/>
    <w:qFormat/>
    <w:rsid w:val="000B6C15"/>
    <w:pPr>
      <w:spacing w:before="81" w:line="260" w:lineRule="exact"/>
    </w:pPr>
    <w:rPr>
      <w:color w:val="1A1918"/>
    </w:rPr>
  </w:style>
  <w:style w:type="paragraph" w:customStyle="1" w:styleId="Sub-headsmallblack">
    <w:name w:val="Sub-head (small black)"/>
    <w:basedOn w:val="Heading4"/>
    <w:uiPriority w:val="1"/>
    <w:qFormat/>
    <w:rsid w:val="005E346D"/>
    <w:pPr>
      <w:spacing w:line="260" w:lineRule="exact"/>
      <w:ind w:left="0"/>
    </w:pPr>
    <w:rPr>
      <w:color w:val="000000" w:themeColor="text1"/>
    </w:rPr>
  </w:style>
  <w:style w:type="paragraph" w:customStyle="1" w:styleId="Abstractbody">
    <w:name w:val="Abstract body"/>
    <w:basedOn w:val="BodyText"/>
    <w:uiPriority w:val="1"/>
    <w:qFormat/>
    <w:rsid w:val="005E346D"/>
    <w:pPr>
      <w:spacing w:before="81" w:line="260" w:lineRule="exact"/>
    </w:pPr>
    <w:rPr>
      <w:color w:val="000000" w:themeColor="text1"/>
    </w:rPr>
  </w:style>
  <w:style w:type="paragraph" w:customStyle="1" w:styleId="Backcover-address">
    <w:name w:val="Back cover - address"/>
    <w:basedOn w:val="BodyText"/>
    <w:uiPriority w:val="1"/>
    <w:qFormat/>
    <w:rsid w:val="009B3EB4"/>
    <w:pPr>
      <w:spacing w:before="24" w:line="240" w:lineRule="exact"/>
    </w:pPr>
    <w:rPr>
      <w:color w:val="FFFFFF"/>
    </w:rPr>
  </w:style>
  <w:style w:type="paragraph" w:customStyle="1" w:styleId="Backcover-Bold">
    <w:name w:val="Back cover - Bold"/>
    <w:basedOn w:val="Heading4"/>
    <w:uiPriority w:val="1"/>
    <w:qFormat/>
    <w:rsid w:val="009B3EB4"/>
    <w:pPr>
      <w:spacing w:before="80" w:line="240" w:lineRule="exact"/>
      <w:ind w:left="0"/>
    </w:pPr>
    <w:rPr>
      <w:color w:val="FFFFFF"/>
    </w:rPr>
  </w:style>
  <w:style w:type="paragraph" w:customStyle="1" w:styleId="ExecutiveSummary">
    <w:name w:val="Executive Summary"/>
    <w:basedOn w:val="Body-main"/>
    <w:uiPriority w:val="1"/>
    <w:qFormat/>
    <w:rsid w:val="00E4313B"/>
    <w:pPr>
      <w:spacing w:line="320" w:lineRule="exact"/>
    </w:pPr>
    <w:rPr>
      <w:sz w:val="20"/>
      <w:szCs w:val="20"/>
    </w:rPr>
  </w:style>
  <w:style w:type="paragraph" w:styleId="NormalWeb">
    <w:name w:val="Normal (Web)"/>
    <w:basedOn w:val="Normal"/>
    <w:uiPriority w:val="99"/>
    <w:semiHidden/>
    <w:unhideWhenUsed/>
    <w:rsid w:val="0001571D"/>
    <w:pPr>
      <w:widowControl/>
      <w:autoSpaceDE/>
      <w:autoSpaceDN/>
      <w:spacing w:before="100" w:beforeAutospacing="1" w:after="100" w:afterAutospacing="1"/>
    </w:pPr>
    <w:rPr>
      <w:rFonts w:ascii="Times New Roman" w:eastAsia="Times New Roman" w:hAnsi="Times New Roman" w:cs="Times New Roman"/>
      <w:sz w:val="24"/>
      <w:szCs w:val="24"/>
      <w:lang w:val="en-GB"/>
    </w:rPr>
  </w:style>
  <w:style w:type="paragraph" w:customStyle="1" w:styleId="LSEpullquote">
    <w:name w:val="LSE pull quote"/>
    <w:basedOn w:val="Normal"/>
    <w:autoRedefine/>
    <w:qFormat/>
    <w:rsid w:val="00A44BA6"/>
    <w:pPr>
      <w:widowControl/>
      <w:autoSpaceDE/>
      <w:autoSpaceDN/>
      <w:spacing w:before="720" w:after="720" w:line="400" w:lineRule="exact"/>
    </w:pPr>
    <w:rPr>
      <w:rFonts w:ascii="Arial" w:eastAsiaTheme="minorHAnsi" w:hAnsi="Arial" w:cs="Arial"/>
      <w:i/>
      <w:color w:val="808080" w:themeColor="background1" w:themeShade="80"/>
      <w:spacing w:val="5"/>
      <w:sz w:val="26"/>
      <w:lang w:val="en-GB"/>
    </w:rPr>
  </w:style>
  <w:style w:type="paragraph" w:customStyle="1" w:styleId="LSEQuote">
    <w:name w:val="LSE Quote"/>
    <w:basedOn w:val="LSEpullquote"/>
    <w:uiPriority w:val="1"/>
    <w:qFormat/>
    <w:rsid w:val="00A44BA6"/>
  </w:style>
  <w:style w:type="paragraph" w:customStyle="1" w:styleId="LSEpagetitle">
    <w:name w:val="LSE page title"/>
    <w:basedOn w:val="Normal"/>
    <w:qFormat/>
    <w:rsid w:val="00CB0CBD"/>
    <w:pPr>
      <w:widowControl/>
      <w:autoSpaceDE/>
      <w:autoSpaceDN/>
      <w:spacing w:after="800"/>
      <w:ind w:left="1134"/>
    </w:pPr>
    <w:rPr>
      <w:rFonts w:ascii="Arial" w:eastAsiaTheme="minorEastAsia" w:hAnsi="Arial" w:cs="Arial"/>
      <w:b/>
      <w:color w:val="D62332"/>
      <w:sz w:val="32"/>
      <w:szCs w:val="32"/>
    </w:rPr>
  </w:style>
  <w:style w:type="paragraph" w:customStyle="1" w:styleId="LSEcontentslist">
    <w:name w:val="LSE contents list"/>
    <w:basedOn w:val="Normal"/>
    <w:qFormat/>
    <w:rsid w:val="000B6C15"/>
    <w:pPr>
      <w:widowControl/>
      <w:tabs>
        <w:tab w:val="left" w:pos="3094"/>
      </w:tabs>
      <w:autoSpaceDE/>
      <w:autoSpaceDN/>
      <w:spacing w:after="300" w:line="360" w:lineRule="exact"/>
      <w:ind w:left="3119" w:right="1134" w:hanging="567"/>
    </w:pPr>
    <w:rPr>
      <w:rFonts w:ascii="Arial" w:eastAsiaTheme="minorHAnsi" w:hAnsi="Arial" w:cs="Arial"/>
      <w:color w:val="1A1918"/>
      <w:sz w:val="25"/>
      <w:szCs w:val="25"/>
      <w:lang w:val="en-GB"/>
    </w:rPr>
  </w:style>
  <w:style w:type="table" w:styleId="TableGrid">
    <w:name w:val="Table Grid"/>
    <w:basedOn w:val="TableNormal"/>
    <w:uiPriority w:val="39"/>
    <w:rsid w:val="007F03B4"/>
    <w:pPr>
      <w:widowControl/>
      <w:autoSpaceDE/>
      <w:autoSpaceDN/>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F702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F7021"/>
    <w:rPr>
      <w:rFonts w:ascii="Times New Roman" w:eastAsia="Roboto-Light" w:hAnsi="Times New Roman" w:cs="Times New Roman"/>
      <w:sz w:val="18"/>
      <w:szCs w:val="18"/>
    </w:rPr>
  </w:style>
  <w:style w:type="character" w:styleId="Hyperlink">
    <w:name w:val="Hyperlink"/>
    <w:basedOn w:val="DefaultParagraphFont"/>
    <w:uiPriority w:val="99"/>
    <w:unhideWhenUsed/>
    <w:rsid w:val="00B11DA3"/>
    <w:rPr>
      <w:color w:val="0000FF" w:themeColor="hyperlink"/>
      <w:u w:val="single"/>
    </w:rPr>
  </w:style>
  <w:style w:type="character" w:styleId="UnresolvedMention">
    <w:name w:val="Unresolved Mention"/>
    <w:basedOn w:val="DefaultParagraphFont"/>
    <w:uiPriority w:val="99"/>
    <w:unhideWhenUsed/>
    <w:rsid w:val="00DA2C28"/>
    <w:rPr>
      <w:color w:val="605E5C"/>
      <w:shd w:val="clear" w:color="auto" w:fill="E1DFDD"/>
    </w:rPr>
  </w:style>
  <w:style w:type="character" w:customStyle="1" w:styleId="EndnoteTextChar">
    <w:name w:val="Endnote Text Char"/>
    <w:basedOn w:val="DefaultParagraphFont"/>
    <w:link w:val="EndnoteText"/>
    <w:uiPriority w:val="99"/>
    <w:semiHidden/>
    <w:rsid w:val="00AE3684"/>
    <w:rPr>
      <w:sz w:val="20"/>
      <w:szCs w:val="20"/>
      <w:lang w:val="en-GB"/>
    </w:rPr>
  </w:style>
  <w:style w:type="paragraph" w:styleId="EndnoteText">
    <w:name w:val="endnote text"/>
    <w:basedOn w:val="Normal"/>
    <w:link w:val="EndnoteTextChar"/>
    <w:uiPriority w:val="99"/>
    <w:semiHidden/>
    <w:unhideWhenUsed/>
    <w:rsid w:val="00AE3684"/>
    <w:pPr>
      <w:widowControl/>
      <w:autoSpaceDE/>
      <w:autoSpaceDN/>
    </w:pPr>
    <w:rPr>
      <w:rFonts w:asciiTheme="minorHAnsi" w:eastAsiaTheme="minorHAnsi" w:hAnsiTheme="minorHAnsi" w:cstheme="minorBidi"/>
      <w:sz w:val="20"/>
      <w:szCs w:val="20"/>
      <w:lang w:val="en-GB"/>
    </w:rPr>
  </w:style>
  <w:style w:type="character" w:customStyle="1" w:styleId="DocumentMapChar">
    <w:name w:val="Document Map Char"/>
    <w:basedOn w:val="DefaultParagraphFont"/>
    <w:link w:val="DocumentMap"/>
    <w:uiPriority w:val="99"/>
    <w:semiHidden/>
    <w:rsid w:val="00AE3684"/>
    <w:rPr>
      <w:rFonts w:ascii="Times New Roman" w:hAnsi="Times New Roman" w:cs="Times New Roman"/>
      <w:sz w:val="24"/>
      <w:szCs w:val="24"/>
      <w:lang w:val="en-GB"/>
    </w:rPr>
  </w:style>
  <w:style w:type="paragraph" w:styleId="DocumentMap">
    <w:name w:val="Document Map"/>
    <w:basedOn w:val="Normal"/>
    <w:link w:val="DocumentMapChar"/>
    <w:uiPriority w:val="99"/>
    <w:semiHidden/>
    <w:unhideWhenUsed/>
    <w:rsid w:val="00AE3684"/>
    <w:pPr>
      <w:widowControl/>
      <w:autoSpaceDE/>
      <w:autoSpaceDN/>
    </w:pPr>
    <w:rPr>
      <w:rFonts w:ascii="Times New Roman" w:eastAsiaTheme="minorHAnsi" w:hAnsi="Times New Roman" w:cs="Times New Roman"/>
      <w:sz w:val="24"/>
      <w:szCs w:val="24"/>
      <w:lang w:val="en-GB"/>
    </w:rPr>
  </w:style>
  <w:style w:type="paragraph" w:styleId="FootnoteText">
    <w:name w:val="footnote text"/>
    <w:basedOn w:val="Normal"/>
    <w:link w:val="FootnoteTextChar"/>
    <w:uiPriority w:val="99"/>
    <w:unhideWhenUsed/>
    <w:rsid w:val="00AE3684"/>
    <w:pPr>
      <w:widowControl/>
      <w:autoSpaceDE/>
      <w:autoSpaceDN/>
    </w:pPr>
    <w:rPr>
      <w:rFonts w:asciiTheme="minorHAnsi" w:eastAsiaTheme="minorHAnsi" w:hAnsiTheme="minorHAnsi" w:cstheme="minorBidi"/>
      <w:sz w:val="20"/>
      <w:szCs w:val="20"/>
      <w:lang w:val="en-GB"/>
    </w:rPr>
  </w:style>
  <w:style w:type="character" w:customStyle="1" w:styleId="FootnoteTextChar">
    <w:name w:val="Footnote Text Char"/>
    <w:basedOn w:val="DefaultParagraphFont"/>
    <w:link w:val="FootnoteText"/>
    <w:uiPriority w:val="99"/>
    <w:rsid w:val="00AE3684"/>
    <w:rPr>
      <w:sz w:val="20"/>
      <w:szCs w:val="20"/>
      <w:lang w:val="en-GB"/>
    </w:rPr>
  </w:style>
  <w:style w:type="character" w:styleId="FootnoteReference">
    <w:name w:val="footnote reference"/>
    <w:basedOn w:val="DefaultParagraphFont"/>
    <w:uiPriority w:val="99"/>
    <w:semiHidden/>
    <w:unhideWhenUsed/>
    <w:rsid w:val="00AE368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193188">
      <w:bodyDiv w:val="1"/>
      <w:marLeft w:val="0"/>
      <w:marRight w:val="0"/>
      <w:marTop w:val="0"/>
      <w:marBottom w:val="0"/>
      <w:divBdr>
        <w:top w:val="none" w:sz="0" w:space="0" w:color="auto"/>
        <w:left w:val="none" w:sz="0" w:space="0" w:color="auto"/>
        <w:bottom w:val="none" w:sz="0" w:space="0" w:color="auto"/>
        <w:right w:val="none" w:sz="0" w:space="0" w:color="auto"/>
      </w:divBdr>
      <w:divsChild>
        <w:div w:id="1495024908">
          <w:marLeft w:val="547"/>
          <w:marRight w:val="0"/>
          <w:marTop w:val="0"/>
          <w:marBottom w:val="0"/>
          <w:divBdr>
            <w:top w:val="none" w:sz="0" w:space="0" w:color="auto"/>
            <w:left w:val="none" w:sz="0" w:space="0" w:color="auto"/>
            <w:bottom w:val="none" w:sz="0" w:space="0" w:color="auto"/>
            <w:right w:val="none" w:sz="0" w:space="0" w:color="auto"/>
          </w:divBdr>
        </w:div>
      </w:divsChild>
    </w:div>
    <w:div w:id="348987130">
      <w:bodyDiv w:val="1"/>
      <w:marLeft w:val="0"/>
      <w:marRight w:val="0"/>
      <w:marTop w:val="0"/>
      <w:marBottom w:val="0"/>
      <w:divBdr>
        <w:top w:val="none" w:sz="0" w:space="0" w:color="auto"/>
        <w:left w:val="none" w:sz="0" w:space="0" w:color="auto"/>
        <w:bottom w:val="none" w:sz="0" w:space="0" w:color="auto"/>
        <w:right w:val="none" w:sz="0" w:space="0" w:color="auto"/>
      </w:divBdr>
      <w:divsChild>
        <w:div w:id="402290136">
          <w:marLeft w:val="547"/>
          <w:marRight w:val="0"/>
          <w:marTop w:val="0"/>
          <w:marBottom w:val="0"/>
          <w:divBdr>
            <w:top w:val="none" w:sz="0" w:space="0" w:color="auto"/>
            <w:left w:val="none" w:sz="0" w:space="0" w:color="auto"/>
            <w:bottom w:val="none" w:sz="0" w:space="0" w:color="auto"/>
            <w:right w:val="none" w:sz="0" w:space="0" w:color="auto"/>
          </w:divBdr>
        </w:div>
      </w:divsChild>
    </w:div>
    <w:div w:id="380901806">
      <w:bodyDiv w:val="1"/>
      <w:marLeft w:val="0"/>
      <w:marRight w:val="0"/>
      <w:marTop w:val="0"/>
      <w:marBottom w:val="0"/>
      <w:divBdr>
        <w:top w:val="none" w:sz="0" w:space="0" w:color="auto"/>
        <w:left w:val="none" w:sz="0" w:space="0" w:color="auto"/>
        <w:bottom w:val="none" w:sz="0" w:space="0" w:color="auto"/>
        <w:right w:val="none" w:sz="0" w:space="0" w:color="auto"/>
      </w:divBdr>
    </w:div>
    <w:div w:id="634870039">
      <w:bodyDiv w:val="1"/>
      <w:marLeft w:val="0"/>
      <w:marRight w:val="0"/>
      <w:marTop w:val="0"/>
      <w:marBottom w:val="0"/>
      <w:divBdr>
        <w:top w:val="none" w:sz="0" w:space="0" w:color="auto"/>
        <w:left w:val="none" w:sz="0" w:space="0" w:color="auto"/>
        <w:bottom w:val="none" w:sz="0" w:space="0" w:color="auto"/>
        <w:right w:val="none" w:sz="0" w:space="0" w:color="auto"/>
      </w:divBdr>
    </w:div>
    <w:div w:id="812017217">
      <w:bodyDiv w:val="1"/>
      <w:marLeft w:val="0"/>
      <w:marRight w:val="0"/>
      <w:marTop w:val="0"/>
      <w:marBottom w:val="0"/>
      <w:divBdr>
        <w:top w:val="none" w:sz="0" w:space="0" w:color="auto"/>
        <w:left w:val="none" w:sz="0" w:space="0" w:color="auto"/>
        <w:bottom w:val="none" w:sz="0" w:space="0" w:color="auto"/>
        <w:right w:val="none" w:sz="0" w:space="0" w:color="auto"/>
      </w:divBdr>
    </w:div>
    <w:div w:id="1144463924">
      <w:bodyDiv w:val="1"/>
      <w:marLeft w:val="0"/>
      <w:marRight w:val="0"/>
      <w:marTop w:val="0"/>
      <w:marBottom w:val="0"/>
      <w:divBdr>
        <w:top w:val="none" w:sz="0" w:space="0" w:color="auto"/>
        <w:left w:val="none" w:sz="0" w:space="0" w:color="auto"/>
        <w:bottom w:val="none" w:sz="0" w:space="0" w:color="auto"/>
        <w:right w:val="none" w:sz="0" w:space="0" w:color="auto"/>
      </w:divBdr>
    </w:div>
    <w:div w:id="1196890309">
      <w:bodyDiv w:val="1"/>
      <w:marLeft w:val="0"/>
      <w:marRight w:val="0"/>
      <w:marTop w:val="0"/>
      <w:marBottom w:val="0"/>
      <w:divBdr>
        <w:top w:val="none" w:sz="0" w:space="0" w:color="auto"/>
        <w:left w:val="none" w:sz="0" w:space="0" w:color="auto"/>
        <w:bottom w:val="none" w:sz="0" w:space="0" w:color="auto"/>
        <w:right w:val="none" w:sz="0" w:space="0" w:color="auto"/>
      </w:divBdr>
    </w:div>
    <w:div w:id="1214927617">
      <w:bodyDiv w:val="1"/>
      <w:marLeft w:val="0"/>
      <w:marRight w:val="0"/>
      <w:marTop w:val="0"/>
      <w:marBottom w:val="0"/>
      <w:divBdr>
        <w:top w:val="none" w:sz="0" w:space="0" w:color="auto"/>
        <w:left w:val="none" w:sz="0" w:space="0" w:color="auto"/>
        <w:bottom w:val="none" w:sz="0" w:space="0" w:color="auto"/>
        <w:right w:val="none" w:sz="0" w:space="0" w:color="auto"/>
      </w:divBdr>
    </w:div>
    <w:div w:id="1222523230">
      <w:bodyDiv w:val="1"/>
      <w:marLeft w:val="0"/>
      <w:marRight w:val="0"/>
      <w:marTop w:val="0"/>
      <w:marBottom w:val="0"/>
      <w:divBdr>
        <w:top w:val="none" w:sz="0" w:space="0" w:color="auto"/>
        <w:left w:val="none" w:sz="0" w:space="0" w:color="auto"/>
        <w:bottom w:val="none" w:sz="0" w:space="0" w:color="auto"/>
        <w:right w:val="none" w:sz="0" w:space="0" w:color="auto"/>
      </w:divBdr>
    </w:div>
    <w:div w:id="1248347745">
      <w:bodyDiv w:val="1"/>
      <w:marLeft w:val="0"/>
      <w:marRight w:val="0"/>
      <w:marTop w:val="0"/>
      <w:marBottom w:val="0"/>
      <w:divBdr>
        <w:top w:val="none" w:sz="0" w:space="0" w:color="auto"/>
        <w:left w:val="none" w:sz="0" w:space="0" w:color="auto"/>
        <w:bottom w:val="none" w:sz="0" w:space="0" w:color="auto"/>
        <w:right w:val="none" w:sz="0" w:space="0" w:color="auto"/>
      </w:divBdr>
    </w:div>
    <w:div w:id="1411384860">
      <w:bodyDiv w:val="1"/>
      <w:marLeft w:val="0"/>
      <w:marRight w:val="0"/>
      <w:marTop w:val="0"/>
      <w:marBottom w:val="0"/>
      <w:divBdr>
        <w:top w:val="none" w:sz="0" w:space="0" w:color="auto"/>
        <w:left w:val="none" w:sz="0" w:space="0" w:color="auto"/>
        <w:bottom w:val="none" w:sz="0" w:space="0" w:color="auto"/>
        <w:right w:val="none" w:sz="0" w:space="0" w:color="auto"/>
      </w:divBdr>
    </w:div>
    <w:div w:id="16728737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diagramData" Target="diagrams/data2.xml"/><Relationship Id="rId26" Type="http://schemas.openxmlformats.org/officeDocument/2006/relationships/image" Target="media/image5.tiff"/><Relationship Id="rId39" Type="http://schemas.openxmlformats.org/officeDocument/2006/relationships/image" Target="media/image14.png"/><Relationship Id="rId21" Type="http://schemas.openxmlformats.org/officeDocument/2006/relationships/diagramColors" Target="diagrams/colors2.xml"/><Relationship Id="rId34" Type="http://schemas.openxmlformats.org/officeDocument/2006/relationships/hyperlink" Target="mailto:s.hayhoe@lse.ac.uk"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cso.ie" TargetMode="External"/><Relationship Id="rId20" Type="http://schemas.openxmlformats.org/officeDocument/2006/relationships/diagramQuickStyle" Target="diagrams/quickStyle2.xml"/><Relationship Id="rId29" Type="http://schemas.openxmlformats.org/officeDocument/2006/relationships/image" Target="media/image8.tiff"/><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image" Target="media/image3.png"/><Relationship Id="rId32" Type="http://schemas.openxmlformats.org/officeDocument/2006/relationships/hyperlink" Target="mailto:s.hayhoe@lse.ac.uk" TargetMode="External"/><Relationship Id="rId37" Type="http://schemas.openxmlformats.org/officeDocument/2006/relationships/image" Target="media/image12.png"/><Relationship Id="rId40" Type="http://schemas.openxmlformats.org/officeDocument/2006/relationships/image" Target="media/image15.png"/><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2.png"/><Relationship Id="rId28" Type="http://schemas.openxmlformats.org/officeDocument/2006/relationships/image" Target="media/image7.tiff"/><Relationship Id="rId36" Type="http://schemas.openxmlformats.org/officeDocument/2006/relationships/image" Target="media/image11.png"/><Relationship Id="rId10" Type="http://schemas.openxmlformats.org/officeDocument/2006/relationships/header" Target="header2.xml"/><Relationship Id="rId19" Type="http://schemas.openxmlformats.org/officeDocument/2006/relationships/diagramLayout" Target="diagrams/layout2.xml"/><Relationship Id="rId31"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diagramColors" Target="diagrams/colors1.xml"/><Relationship Id="rId22" Type="http://schemas.microsoft.com/office/2007/relationships/diagramDrawing" Target="diagrams/drawing2.xml"/><Relationship Id="rId27" Type="http://schemas.openxmlformats.org/officeDocument/2006/relationships/image" Target="media/image6.tiff"/><Relationship Id="rId30" Type="http://schemas.openxmlformats.org/officeDocument/2006/relationships/image" Target="media/image9.tiff"/><Relationship Id="rId35" Type="http://schemas.openxmlformats.org/officeDocument/2006/relationships/hyperlink" Target="mailto:s.hayhoe@lse.ac.uk" TargetMode="External"/><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hyperlink" Target="https://www.ncbi.ie" TargetMode="External"/><Relationship Id="rId25" Type="http://schemas.openxmlformats.org/officeDocument/2006/relationships/image" Target="media/image4.tiff"/><Relationship Id="rId33" Type="http://schemas.openxmlformats.org/officeDocument/2006/relationships/hyperlink" Target="mailto:s.hayhoe@lse.ac.uk" TargetMode="External"/><Relationship Id="rId38" Type="http://schemas.openxmlformats.org/officeDocument/2006/relationships/image" Target="media/image13.png"/></Relationships>
</file>

<file path=word/_rels/footnotes.xml.rels><?xml version="1.0" encoding="UTF-8" standalone="yes"?>
<Relationships xmlns="http://schemas.openxmlformats.org/package/2006/relationships"><Relationship Id="rId8" Type="http://schemas.openxmlformats.org/officeDocument/2006/relationships/hyperlink" Target="https://www.aph.org/" TargetMode="External"/><Relationship Id="rId13" Type="http://schemas.openxmlformats.org/officeDocument/2006/relationships/hyperlink" Target="https://nbfu.no/norwegian-association-blind-and-partially-sighted-youth-nabpy" TargetMode="External"/><Relationship Id="rId3" Type="http://schemas.openxmlformats.org/officeDocument/2006/relationships/hyperlink" Target="https://joinup.ec.europa.eu/document/danish-digital-library-service-blind-dls" TargetMode="External"/><Relationship Id="rId7" Type="http://schemas.openxmlformats.org/officeDocument/2006/relationships/hyperlink" Target="https://www.nfb.org/" TargetMode="External"/><Relationship Id="rId12" Type="http://schemas.openxmlformats.org/officeDocument/2006/relationships/hyperlink" Target="https://blindfoundation.org.nz/" TargetMode="External"/><Relationship Id="rId2" Type="http://schemas.openxmlformats.org/officeDocument/2006/relationships/hyperlink" Target="https://www.cso.ie/en/media/csoie/visualisationtools/infographics/census/2016/Census_2016_Summary_Results_Part_1_Infographic_Large.png" TargetMode="External"/><Relationship Id="rId1" Type="http://schemas.openxmlformats.org/officeDocument/2006/relationships/hyperlink" Target="https://www.cso.ie/en/media/csoie/newsevents/documents/pressreleases/2017/prCensussummarypart1.pdf" TargetMode="External"/><Relationship Id="rId6" Type="http://schemas.openxmlformats.org/officeDocument/2006/relationships/hyperlink" Target="https://www.afb.org/" TargetMode="External"/><Relationship Id="rId11" Type="http://schemas.openxmlformats.org/officeDocument/2006/relationships/hyperlink" Target="http://www.rsb.org.au/" TargetMode="External"/><Relationship Id="rId5" Type="http://schemas.openxmlformats.org/officeDocument/2006/relationships/hyperlink" Target="https://www.mass.gov/orgs/massachusetts-commission-for-the-blind" TargetMode="External"/><Relationship Id="rId15" Type="http://schemas.openxmlformats.org/officeDocument/2006/relationships/hyperlink" Target="https://www.royalblind.org/" TargetMode="External"/><Relationship Id="rId10" Type="http://schemas.openxmlformats.org/officeDocument/2006/relationships/hyperlink" Target="https://www.visionaustralia.org/" TargetMode="External"/><Relationship Id="rId4" Type="http://schemas.openxmlformats.org/officeDocument/2006/relationships/hyperlink" Target="https://www.nkl.fi/en" TargetMode="External"/><Relationship Id="rId9" Type="http://schemas.openxmlformats.org/officeDocument/2006/relationships/hyperlink" Target="http://www.bcnsw.org.au/" TargetMode="External"/><Relationship Id="rId14" Type="http://schemas.openxmlformats.org/officeDocument/2006/relationships/hyperlink" Target="https://www.rnib.org.uk/scotland" TargetMode="External"/></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D510526-66F4-41E4-B6D5-5A468C13EF89}" type="doc">
      <dgm:prSet loTypeId="urn:microsoft.com/office/officeart/2005/8/layout/venn2" loCatId="relationship" qsTypeId="urn:microsoft.com/office/officeart/2005/8/quickstyle/simple1" qsCatId="simple" csTypeId="urn:microsoft.com/office/officeart/2005/8/colors/accent0_3" csCatId="mainScheme" phldr="1"/>
      <dgm:spPr/>
      <dgm:t>
        <a:bodyPr/>
        <a:lstStyle/>
        <a:p>
          <a:endParaRPr lang="en-US"/>
        </a:p>
      </dgm:t>
    </dgm:pt>
    <dgm:pt modelId="{BAEE88EC-FDF3-45EB-9AE1-B9F8AB939E61}">
      <dgm:prSet phldrT="[Text]" custT="1"/>
      <dgm:spPr>
        <a:xfrm>
          <a:off x="1085850" y="0"/>
          <a:ext cx="3314700" cy="3314700"/>
        </a:xfrm>
      </dgm:spPr>
      <dgm:t>
        <a:bodyPr lIns="0" tIns="0" rIns="0" bIns="0"/>
        <a:lstStyle/>
        <a:p>
          <a:r>
            <a:rPr lang="en-US" sz="1100">
              <a:latin typeface="+mn-lt"/>
            </a:rPr>
            <a:t>Spaces and Places</a:t>
          </a:r>
        </a:p>
      </dgm:t>
    </dgm:pt>
    <dgm:pt modelId="{7AAAB354-1E4F-4BA3-8CED-4CB585865CF5}" type="parTrans" cxnId="{F70B8E69-D69C-43F0-BEA9-C1F62DD3D86E}">
      <dgm:prSet/>
      <dgm:spPr/>
      <dgm:t>
        <a:bodyPr/>
        <a:lstStyle/>
        <a:p>
          <a:endParaRPr lang="en-US"/>
        </a:p>
      </dgm:t>
    </dgm:pt>
    <dgm:pt modelId="{68B74A1C-E214-4516-AB9A-05A51A005E0D}" type="sibTrans" cxnId="{F70B8E69-D69C-43F0-BEA9-C1F62DD3D86E}">
      <dgm:prSet/>
      <dgm:spPr/>
      <dgm:t>
        <a:bodyPr/>
        <a:lstStyle/>
        <a:p>
          <a:endParaRPr lang="en-US"/>
        </a:p>
      </dgm:t>
    </dgm:pt>
    <dgm:pt modelId="{99F936AE-F5DD-4090-819E-7560B8B724A9}">
      <dgm:prSet phldrT="[Text]" custT="1"/>
      <dgm:spPr>
        <a:xfrm>
          <a:off x="1417320" y="662939"/>
          <a:ext cx="2651760" cy="2651760"/>
        </a:xfrm>
      </dgm:spPr>
      <dgm:t>
        <a:bodyPr lIns="0" tIns="0" rIns="0" bIns="0"/>
        <a:lstStyle/>
        <a:p>
          <a:r>
            <a:rPr lang="en-US" sz="1000"/>
            <a:t>Information</a:t>
          </a:r>
        </a:p>
      </dgm:t>
    </dgm:pt>
    <dgm:pt modelId="{E96FAE19-4304-4CBF-BF93-6664CA1B551A}" type="parTrans" cxnId="{8E931CCC-3453-42A0-AD11-45B82865BC99}">
      <dgm:prSet/>
      <dgm:spPr/>
      <dgm:t>
        <a:bodyPr/>
        <a:lstStyle/>
        <a:p>
          <a:endParaRPr lang="en-US"/>
        </a:p>
      </dgm:t>
    </dgm:pt>
    <dgm:pt modelId="{0AEFE544-C62E-421F-A39A-9697E3D419B1}" type="sibTrans" cxnId="{8E931CCC-3453-42A0-AD11-45B82865BC99}">
      <dgm:prSet/>
      <dgm:spPr/>
      <dgm:t>
        <a:bodyPr/>
        <a:lstStyle/>
        <a:p>
          <a:endParaRPr lang="en-US"/>
        </a:p>
      </dgm:t>
    </dgm:pt>
    <dgm:pt modelId="{58FF650E-BAA1-42E7-B473-8A3A0459D3BB}">
      <dgm:prSet phldrT="[Text]" custT="1"/>
      <dgm:spPr>
        <a:xfrm>
          <a:off x="1748790" y="1325879"/>
          <a:ext cx="1988820" cy="1988820"/>
        </a:xfrm>
      </dgm:spPr>
      <dgm:t>
        <a:bodyPr/>
        <a:lstStyle/>
        <a:p>
          <a:r>
            <a:rPr lang="en-US" sz="1100"/>
            <a:t>Learning</a:t>
          </a:r>
        </a:p>
      </dgm:t>
    </dgm:pt>
    <dgm:pt modelId="{872A7F4B-FAE1-40D0-957E-274DDF305C5B}" type="parTrans" cxnId="{077F44A9-8E16-4FD4-980F-81D74A9082CB}">
      <dgm:prSet/>
      <dgm:spPr/>
      <dgm:t>
        <a:bodyPr/>
        <a:lstStyle/>
        <a:p>
          <a:endParaRPr lang="en-US"/>
        </a:p>
      </dgm:t>
    </dgm:pt>
    <dgm:pt modelId="{843A17D7-3BBB-4C3F-B201-98D9A939A823}" type="sibTrans" cxnId="{077F44A9-8E16-4FD4-980F-81D74A9082CB}">
      <dgm:prSet/>
      <dgm:spPr/>
      <dgm:t>
        <a:bodyPr/>
        <a:lstStyle/>
        <a:p>
          <a:endParaRPr lang="en-US"/>
        </a:p>
      </dgm:t>
    </dgm:pt>
    <dgm:pt modelId="{E3139231-DA79-46E5-B2EB-AB183709222E}">
      <dgm:prSet phldrT="[Text]"/>
      <dgm:spPr>
        <a:xfrm>
          <a:off x="2080260" y="1988820"/>
          <a:ext cx="1325880" cy="1325880"/>
        </a:xfrm>
      </dgm:spPr>
      <dgm:t>
        <a:bodyPr/>
        <a:lstStyle/>
        <a:p>
          <a:r>
            <a:rPr lang="en-US"/>
            <a:t>Bonding</a:t>
          </a:r>
        </a:p>
      </dgm:t>
    </dgm:pt>
    <dgm:pt modelId="{9B80D5EA-4CDA-454E-8BF2-C4C26A3E1FFE}" type="parTrans" cxnId="{1DA8A410-90A4-4F3A-86B0-498848A278CC}">
      <dgm:prSet/>
      <dgm:spPr/>
      <dgm:t>
        <a:bodyPr/>
        <a:lstStyle/>
        <a:p>
          <a:endParaRPr lang="en-US"/>
        </a:p>
      </dgm:t>
    </dgm:pt>
    <dgm:pt modelId="{FBF8C7E7-8130-448D-9734-D9DD0D9B45EF}" type="sibTrans" cxnId="{1DA8A410-90A4-4F3A-86B0-498848A278CC}">
      <dgm:prSet/>
      <dgm:spPr/>
      <dgm:t>
        <a:bodyPr/>
        <a:lstStyle/>
        <a:p>
          <a:endParaRPr lang="en-US"/>
        </a:p>
      </dgm:t>
    </dgm:pt>
    <dgm:pt modelId="{43431E4E-9223-D641-8C3E-1842152417B2}">
      <dgm:prSet phldrT="[Text]" custT="1"/>
      <dgm:spPr>
        <a:xfrm>
          <a:off x="1085850" y="0"/>
          <a:ext cx="3314700" cy="3314700"/>
        </a:xfrm>
      </dgm:spPr>
      <dgm:t>
        <a:bodyPr lIns="0" tIns="0" rIns="0" bIns="0"/>
        <a:lstStyle/>
        <a:p>
          <a:r>
            <a:rPr lang="en-US" sz="1100">
              <a:latin typeface="+mn-lt"/>
            </a:rPr>
            <a:t>Mobility</a:t>
          </a:r>
        </a:p>
      </dgm:t>
    </dgm:pt>
    <dgm:pt modelId="{F57B2D3A-6A38-C549-8976-D784744DBA0C}" type="parTrans" cxnId="{8737AA68-5362-E34E-A129-70B4DAD3D18B}">
      <dgm:prSet/>
      <dgm:spPr/>
      <dgm:t>
        <a:bodyPr/>
        <a:lstStyle/>
        <a:p>
          <a:endParaRPr lang="en-GB"/>
        </a:p>
      </dgm:t>
    </dgm:pt>
    <dgm:pt modelId="{83265CB3-5B0C-F846-9EFC-DADDEFB3EA45}" type="sibTrans" cxnId="{8737AA68-5362-E34E-A129-70B4DAD3D18B}">
      <dgm:prSet/>
      <dgm:spPr/>
      <dgm:t>
        <a:bodyPr/>
        <a:lstStyle/>
        <a:p>
          <a:endParaRPr lang="en-GB"/>
        </a:p>
      </dgm:t>
    </dgm:pt>
    <dgm:pt modelId="{AE4653C8-FE31-4B9F-BE25-CB49322BAFB6}" type="pres">
      <dgm:prSet presAssocID="{FD510526-66F4-41E4-B6D5-5A468C13EF89}" presName="Name0" presStyleCnt="0">
        <dgm:presLayoutVars>
          <dgm:chMax val="7"/>
          <dgm:resizeHandles val="exact"/>
        </dgm:presLayoutVars>
      </dgm:prSet>
      <dgm:spPr/>
    </dgm:pt>
    <dgm:pt modelId="{F101EA74-A236-49F8-B74C-A93C9E8BA30A}" type="pres">
      <dgm:prSet presAssocID="{FD510526-66F4-41E4-B6D5-5A468C13EF89}" presName="comp1" presStyleCnt="0"/>
      <dgm:spPr/>
    </dgm:pt>
    <dgm:pt modelId="{82D111E8-0532-4DAF-A1E8-1DFED153AC02}" type="pres">
      <dgm:prSet presAssocID="{FD510526-66F4-41E4-B6D5-5A468C13EF89}" presName="circle1" presStyleLbl="node1" presStyleIdx="0" presStyleCnt="5"/>
      <dgm:spPr>
        <a:prstGeom prst="ellipse">
          <a:avLst/>
        </a:prstGeom>
      </dgm:spPr>
    </dgm:pt>
    <dgm:pt modelId="{D14E0D00-FCD1-4539-B9E2-B5DF1A2E4FC8}" type="pres">
      <dgm:prSet presAssocID="{FD510526-66F4-41E4-B6D5-5A468C13EF89}" presName="c1text" presStyleLbl="node1" presStyleIdx="0" presStyleCnt="5">
        <dgm:presLayoutVars>
          <dgm:bulletEnabled val="1"/>
        </dgm:presLayoutVars>
      </dgm:prSet>
      <dgm:spPr/>
    </dgm:pt>
    <dgm:pt modelId="{C0A81DD2-51C5-4625-BE12-9A82A1DCA106}" type="pres">
      <dgm:prSet presAssocID="{FD510526-66F4-41E4-B6D5-5A468C13EF89}" presName="comp2" presStyleCnt="0"/>
      <dgm:spPr/>
    </dgm:pt>
    <dgm:pt modelId="{EF449B8A-E66E-4791-B3EF-7C08140B9D2A}" type="pres">
      <dgm:prSet presAssocID="{FD510526-66F4-41E4-B6D5-5A468C13EF89}" presName="circle2" presStyleLbl="node1" presStyleIdx="1" presStyleCnt="5"/>
      <dgm:spPr>
        <a:prstGeom prst="ellipse">
          <a:avLst/>
        </a:prstGeom>
      </dgm:spPr>
    </dgm:pt>
    <dgm:pt modelId="{88A293F4-0110-4FCF-AE0A-1813B4966C03}" type="pres">
      <dgm:prSet presAssocID="{FD510526-66F4-41E4-B6D5-5A468C13EF89}" presName="c2text" presStyleLbl="node1" presStyleIdx="1" presStyleCnt="5">
        <dgm:presLayoutVars>
          <dgm:bulletEnabled val="1"/>
        </dgm:presLayoutVars>
      </dgm:prSet>
      <dgm:spPr/>
    </dgm:pt>
    <dgm:pt modelId="{CB63E47C-EC42-45FB-97B3-4572FE865D0D}" type="pres">
      <dgm:prSet presAssocID="{FD510526-66F4-41E4-B6D5-5A468C13EF89}" presName="comp3" presStyleCnt="0"/>
      <dgm:spPr/>
    </dgm:pt>
    <dgm:pt modelId="{C4F910D4-F9F9-4914-BF1B-791EB599CCD4}" type="pres">
      <dgm:prSet presAssocID="{FD510526-66F4-41E4-B6D5-5A468C13EF89}" presName="circle3" presStyleLbl="node1" presStyleIdx="2" presStyleCnt="5"/>
      <dgm:spPr>
        <a:prstGeom prst="ellipse">
          <a:avLst/>
        </a:prstGeom>
      </dgm:spPr>
    </dgm:pt>
    <dgm:pt modelId="{24BC6A28-6346-49C7-91F8-FF95D37B6B11}" type="pres">
      <dgm:prSet presAssocID="{FD510526-66F4-41E4-B6D5-5A468C13EF89}" presName="c3text" presStyleLbl="node1" presStyleIdx="2" presStyleCnt="5">
        <dgm:presLayoutVars>
          <dgm:bulletEnabled val="1"/>
        </dgm:presLayoutVars>
      </dgm:prSet>
      <dgm:spPr/>
    </dgm:pt>
    <dgm:pt modelId="{55F500AE-2561-4632-8DCD-72FF26AC32FD}" type="pres">
      <dgm:prSet presAssocID="{FD510526-66F4-41E4-B6D5-5A468C13EF89}" presName="comp4" presStyleCnt="0"/>
      <dgm:spPr/>
    </dgm:pt>
    <dgm:pt modelId="{D48190FE-DD35-4427-B832-714AB70F2778}" type="pres">
      <dgm:prSet presAssocID="{FD510526-66F4-41E4-B6D5-5A468C13EF89}" presName="circle4" presStyleLbl="node1" presStyleIdx="3" presStyleCnt="5"/>
      <dgm:spPr>
        <a:prstGeom prst="ellipse">
          <a:avLst/>
        </a:prstGeom>
      </dgm:spPr>
    </dgm:pt>
    <dgm:pt modelId="{8ED1A10E-3EB0-4C3C-8AA0-8F4A9F3E6141}" type="pres">
      <dgm:prSet presAssocID="{FD510526-66F4-41E4-B6D5-5A468C13EF89}" presName="c4text" presStyleLbl="node1" presStyleIdx="3" presStyleCnt="5">
        <dgm:presLayoutVars>
          <dgm:bulletEnabled val="1"/>
        </dgm:presLayoutVars>
      </dgm:prSet>
      <dgm:spPr/>
    </dgm:pt>
    <dgm:pt modelId="{E32E5260-2AC8-9E4E-BB47-A9684F5189B7}" type="pres">
      <dgm:prSet presAssocID="{FD510526-66F4-41E4-B6D5-5A468C13EF89}" presName="comp5" presStyleCnt="0"/>
      <dgm:spPr/>
    </dgm:pt>
    <dgm:pt modelId="{41126265-04EB-B742-AEFC-CB42DBEBE65A}" type="pres">
      <dgm:prSet presAssocID="{FD510526-66F4-41E4-B6D5-5A468C13EF89}" presName="circle5" presStyleLbl="node1" presStyleIdx="4" presStyleCnt="5"/>
      <dgm:spPr/>
    </dgm:pt>
    <dgm:pt modelId="{B6924593-0862-994A-81A9-C31056081776}" type="pres">
      <dgm:prSet presAssocID="{FD510526-66F4-41E4-B6D5-5A468C13EF89}" presName="c5text" presStyleLbl="node1" presStyleIdx="4" presStyleCnt="5">
        <dgm:presLayoutVars>
          <dgm:bulletEnabled val="1"/>
        </dgm:presLayoutVars>
      </dgm:prSet>
      <dgm:spPr/>
    </dgm:pt>
  </dgm:ptLst>
  <dgm:cxnLst>
    <dgm:cxn modelId="{1DA8A410-90A4-4F3A-86B0-498848A278CC}" srcId="{FD510526-66F4-41E4-B6D5-5A468C13EF89}" destId="{E3139231-DA79-46E5-B2EB-AB183709222E}" srcOrd="4" destOrd="0" parTransId="{9B80D5EA-4CDA-454E-8BF2-C4C26A3E1FFE}" sibTransId="{FBF8C7E7-8130-448D-9734-D9DD0D9B45EF}"/>
    <dgm:cxn modelId="{97561765-7E37-464F-8F3F-ED5FD3873CEB}" type="presOf" srcId="{58FF650E-BAA1-42E7-B473-8A3A0459D3BB}" destId="{D48190FE-DD35-4427-B832-714AB70F2778}" srcOrd="0" destOrd="0" presId="urn:microsoft.com/office/officeart/2005/8/layout/venn2"/>
    <dgm:cxn modelId="{8737AA68-5362-E34E-A129-70B4DAD3D18B}" srcId="{FD510526-66F4-41E4-B6D5-5A468C13EF89}" destId="{43431E4E-9223-D641-8C3E-1842152417B2}" srcOrd="0" destOrd="0" parTransId="{F57B2D3A-6A38-C549-8976-D784744DBA0C}" sibTransId="{83265CB3-5B0C-F846-9EFC-DADDEFB3EA45}"/>
    <dgm:cxn modelId="{F70B8E69-D69C-43F0-BEA9-C1F62DD3D86E}" srcId="{FD510526-66F4-41E4-B6D5-5A468C13EF89}" destId="{BAEE88EC-FDF3-45EB-9AE1-B9F8AB939E61}" srcOrd="1" destOrd="0" parTransId="{7AAAB354-1E4F-4BA3-8CED-4CB585865CF5}" sibTransId="{68B74A1C-E214-4516-AB9A-05A51A005E0D}"/>
    <dgm:cxn modelId="{7F125970-163E-40D7-A6BF-B407AC738D72}" type="presOf" srcId="{E3139231-DA79-46E5-B2EB-AB183709222E}" destId="{41126265-04EB-B742-AEFC-CB42DBEBE65A}" srcOrd="0" destOrd="0" presId="urn:microsoft.com/office/officeart/2005/8/layout/venn2"/>
    <dgm:cxn modelId="{7310E87B-B1C7-4DA9-B6DC-81A7CA6BFD39}" type="presOf" srcId="{FD510526-66F4-41E4-B6D5-5A468C13EF89}" destId="{AE4653C8-FE31-4B9F-BE25-CB49322BAFB6}" srcOrd="0" destOrd="0" presId="urn:microsoft.com/office/officeart/2005/8/layout/venn2"/>
    <dgm:cxn modelId="{A2BB0E7D-3E9F-4E20-9CD7-34CDDB58C5DB}" type="presOf" srcId="{BAEE88EC-FDF3-45EB-9AE1-B9F8AB939E61}" destId="{88A293F4-0110-4FCF-AE0A-1813B4966C03}" srcOrd="1" destOrd="0" presId="urn:microsoft.com/office/officeart/2005/8/layout/venn2"/>
    <dgm:cxn modelId="{636FED9C-9301-4639-8D5E-7ADE2D4C7617}" type="presOf" srcId="{99F936AE-F5DD-4090-819E-7560B8B724A9}" destId="{24BC6A28-6346-49C7-91F8-FF95D37B6B11}" srcOrd="1" destOrd="0" presId="urn:microsoft.com/office/officeart/2005/8/layout/venn2"/>
    <dgm:cxn modelId="{B0929AA1-9351-49FA-8138-C7ED69DE67C0}" type="presOf" srcId="{58FF650E-BAA1-42E7-B473-8A3A0459D3BB}" destId="{8ED1A10E-3EB0-4C3C-8AA0-8F4A9F3E6141}" srcOrd="1" destOrd="0" presId="urn:microsoft.com/office/officeart/2005/8/layout/venn2"/>
    <dgm:cxn modelId="{077F44A9-8E16-4FD4-980F-81D74A9082CB}" srcId="{FD510526-66F4-41E4-B6D5-5A468C13EF89}" destId="{58FF650E-BAA1-42E7-B473-8A3A0459D3BB}" srcOrd="3" destOrd="0" parTransId="{872A7F4B-FAE1-40D0-957E-274DDF305C5B}" sibTransId="{843A17D7-3BBB-4C3F-B201-98D9A939A823}"/>
    <dgm:cxn modelId="{8E931CCC-3453-42A0-AD11-45B82865BC99}" srcId="{FD510526-66F4-41E4-B6D5-5A468C13EF89}" destId="{99F936AE-F5DD-4090-819E-7560B8B724A9}" srcOrd="2" destOrd="0" parTransId="{E96FAE19-4304-4CBF-BF93-6664CA1B551A}" sibTransId="{0AEFE544-C62E-421F-A39A-9697E3D419B1}"/>
    <dgm:cxn modelId="{83D48AE1-3836-42B3-842F-70A726A5DC59}" type="presOf" srcId="{99F936AE-F5DD-4090-819E-7560B8B724A9}" destId="{C4F910D4-F9F9-4914-BF1B-791EB599CCD4}" srcOrd="0" destOrd="0" presId="urn:microsoft.com/office/officeart/2005/8/layout/venn2"/>
    <dgm:cxn modelId="{552863E2-50EF-497E-B460-E3C1B6F44B46}" type="presOf" srcId="{E3139231-DA79-46E5-B2EB-AB183709222E}" destId="{B6924593-0862-994A-81A9-C31056081776}" srcOrd="1" destOrd="0" presId="urn:microsoft.com/office/officeart/2005/8/layout/venn2"/>
    <dgm:cxn modelId="{8880E9E2-5C3A-4CF1-BD9E-C37E9B5F9BE7}" type="presOf" srcId="{43431E4E-9223-D641-8C3E-1842152417B2}" destId="{82D111E8-0532-4DAF-A1E8-1DFED153AC02}" srcOrd="0" destOrd="0" presId="urn:microsoft.com/office/officeart/2005/8/layout/venn2"/>
    <dgm:cxn modelId="{904FA5F0-62CF-4672-ADEA-E5DD82853D43}" type="presOf" srcId="{BAEE88EC-FDF3-45EB-9AE1-B9F8AB939E61}" destId="{EF449B8A-E66E-4791-B3EF-7C08140B9D2A}" srcOrd="0" destOrd="0" presId="urn:microsoft.com/office/officeart/2005/8/layout/venn2"/>
    <dgm:cxn modelId="{150AD3FB-B370-4EB2-B04B-A46B58517319}" type="presOf" srcId="{43431E4E-9223-D641-8C3E-1842152417B2}" destId="{D14E0D00-FCD1-4539-B9E2-B5DF1A2E4FC8}" srcOrd="1" destOrd="0" presId="urn:microsoft.com/office/officeart/2005/8/layout/venn2"/>
    <dgm:cxn modelId="{8CE86A99-436B-447A-8C90-DDDD1B933A95}" type="presParOf" srcId="{AE4653C8-FE31-4B9F-BE25-CB49322BAFB6}" destId="{F101EA74-A236-49F8-B74C-A93C9E8BA30A}" srcOrd="0" destOrd="0" presId="urn:microsoft.com/office/officeart/2005/8/layout/venn2"/>
    <dgm:cxn modelId="{1AFD3040-BB32-48B1-8322-E1C176054E26}" type="presParOf" srcId="{F101EA74-A236-49F8-B74C-A93C9E8BA30A}" destId="{82D111E8-0532-4DAF-A1E8-1DFED153AC02}" srcOrd="0" destOrd="0" presId="urn:microsoft.com/office/officeart/2005/8/layout/venn2"/>
    <dgm:cxn modelId="{03A2E375-09C7-4A63-AD86-5FCC78ACC0CE}" type="presParOf" srcId="{F101EA74-A236-49F8-B74C-A93C9E8BA30A}" destId="{D14E0D00-FCD1-4539-B9E2-B5DF1A2E4FC8}" srcOrd="1" destOrd="0" presId="urn:microsoft.com/office/officeart/2005/8/layout/venn2"/>
    <dgm:cxn modelId="{3CD66F2E-F95C-41EE-B3EF-1C7B84917D3B}" type="presParOf" srcId="{AE4653C8-FE31-4B9F-BE25-CB49322BAFB6}" destId="{C0A81DD2-51C5-4625-BE12-9A82A1DCA106}" srcOrd="1" destOrd="0" presId="urn:microsoft.com/office/officeart/2005/8/layout/venn2"/>
    <dgm:cxn modelId="{E809AB73-CB92-4965-88C9-B9E50194FCD8}" type="presParOf" srcId="{C0A81DD2-51C5-4625-BE12-9A82A1DCA106}" destId="{EF449B8A-E66E-4791-B3EF-7C08140B9D2A}" srcOrd="0" destOrd="0" presId="urn:microsoft.com/office/officeart/2005/8/layout/venn2"/>
    <dgm:cxn modelId="{82CA6BE5-B619-4540-9B76-C0907D852950}" type="presParOf" srcId="{C0A81DD2-51C5-4625-BE12-9A82A1DCA106}" destId="{88A293F4-0110-4FCF-AE0A-1813B4966C03}" srcOrd="1" destOrd="0" presId="urn:microsoft.com/office/officeart/2005/8/layout/venn2"/>
    <dgm:cxn modelId="{609FCA72-80DF-4AB9-8CF1-21E79F07E708}" type="presParOf" srcId="{AE4653C8-FE31-4B9F-BE25-CB49322BAFB6}" destId="{CB63E47C-EC42-45FB-97B3-4572FE865D0D}" srcOrd="2" destOrd="0" presId="urn:microsoft.com/office/officeart/2005/8/layout/venn2"/>
    <dgm:cxn modelId="{62FC234A-78E9-4720-A310-E56C17A96B37}" type="presParOf" srcId="{CB63E47C-EC42-45FB-97B3-4572FE865D0D}" destId="{C4F910D4-F9F9-4914-BF1B-791EB599CCD4}" srcOrd="0" destOrd="0" presId="urn:microsoft.com/office/officeart/2005/8/layout/venn2"/>
    <dgm:cxn modelId="{ED757EE7-1BDD-4AC6-BD82-941E99F46EAF}" type="presParOf" srcId="{CB63E47C-EC42-45FB-97B3-4572FE865D0D}" destId="{24BC6A28-6346-49C7-91F8-FF95D37B6B11}" srcOrd="1" destOrd="0" presId="urn:microsoft.com/office/officeart/2005/8/layout/venn2"/>
    <dgm:cxn modelId="{86E6661E-FA55-4640-A237-D9EF4DD20C77}" type="presParOf" srcId="{AE4653C8-FE31-4B9F-BE25-CB49322BAFB6}" destId="{55F500AE-2561-4632-8DCD-72FF26AC32FD}" srcOrd="3" destOrd="0" presId="urn:microsoft.com/office/officeart/2005/8/layout/venn2"/>
    <dgm:cxn modelId="{03FC2333-740E-4DF3-91B1-A7F438A907D2}" type="presParOf" srcId="{55F500AE-2561-4632-8DCD-72FF26AC32FD}" destId="{D48190FE-DD35-4427-B832-714AB70F2778}" srcOrd="0" destOrd="0" presId="urn:microsoft.com/office/officeart/2005/8/layout/venn2"/>
    <dgm:cxn modelId="{272EF29D-4AF7-48E5-A953-88C717F478DB}" type="presParOf" srcId="{55F500AE-2561-4632-8DCD-72FF26AC32FD}" destId="{8ED1A10E-3EB0-4C3C-8AA0-8F4A9F3E6141}" srcOrd="1" destOrd="0" presId="urn:microsoft.com/office/officeart/2005/8/layout/venn2"/>
    <dgm:cxn modelId="{728CA694-CB3A-4735-8CC6-54ED7FADE1F6}" type="presParOf" srcId="{AE4653C8-FE31-4B9F-BE25-CB49322BAFB6}" destId="{E32E5260-2AC8-9E4E-BB47-A9684F5189B7}" srcOrd="4" destOrd="0" presId="urn:microsoft.com/office/officeart/2005/8/layout/venn2"/>
    <dgm:cxn modelId="{EDD74FCE-2878-40A3-A96B-729FC8F25859}" type="presParOf" srcId="{E32E5260-2AC8-9E4E-BB47-A9684F5189B7}" destId="{41126265-04EB-B742-AEFC-CB42DBEBE65A}" srcOrd="0" destOrd="0" presId="urn:microsoft.com/office/officeart/2005/8/layout/venn2"/>
    <dgm:cxn modelId="{92C504CA-2EA4-40E2-B646-E47565051223}" type="presParOf" srcId="{E32E5260-2AC8-9E4E-BB47-A9684F5189B7}" destId="{B6924593-0862-994A-81A9-C31056081776}" srcOrd="1" destOrd="0" presId="urn:microsoft.com/office/officeart/2005/8/layout/venn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12E5448-4221-6A46-9FF3-7AB483B320F9}" type="doc">
      <dgm:prSet loTypeId="urn:microsoft.com/office/officeart/2005/8/layout/cycle8" loCatId="" qsTypeId="urn:microsoft.com/office/officeart/2005/8/quickstyle/simple5" qsCatId="simple" csTypeId="urn:microsoft.com/office/officeart/2005/8/colors/colorful1" csCatId="colorful" phldr="1"/>
      <dgm:spPr/>
    </dgm:pt>
    <dgm:pt modelId="{444D7143-E571-1845-8667-0DF843CE62E0}">
      <dgm:prSet phldrT="[Text]" custT="1"/>
      <dgm:spPr>
        <a:xfrm>
          <a:off x="3288876" y="327413"/>
          <a:ext cx="4231195" cy="4231195"/>
        </a:xfrm>
        <a:prstGeom prst="pie">
          <a:avLst>
            <a:gd name="adj1" fmla="val 16200000"/>
            <a:gd name="adj2" fmla="val 1800000"/>
          </a:avLst>
        </a:prstGeom>
        <a:gradFill rotWithShape="0">
          <a:gsLst>
            <a:gs pos="0">
              <a:srgbClr val="2683C6">
                <a:hueOff val="0"/>
                <a:satOff val="0"/>
                <a:lumOff val="0"/>
                <a:alphaOff val="0"/>
                <a:tint val="100000"/>
                <a:shade val="85000"/>
                <a:satMod val="100000"/>
                <a:lumMod val="100000"/>
              </a:srgbClr>
            </a:gs>
            <a:gs pos="100000">
              <a:srgbClr val="2683C6">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2683C6">
              <a:hueOff val="0"/>
              <a:satOff val="0"/>
              <a:lumOff val="0"/>
              <a:alphaOff val="0"/>
              <a:shade val="35000"/>
              <a:satMod val="160000"/>
            </a:srgbClr>
          </a:contourClr>
        </a:sp3d>
      </dgm:spPr>
      <dgm:t>
        <a:bodyPr/>
        <a:lstStyle/>
        <a:p>
          <a:pPr algn="l">
            <a:buNone/>
          </a:pPr>
          <a:r>
            <a:rPr lang="en-US" sz="800" u="sng" dirty="0">
              <a:solidFill>
                <a:srgbClr val="C00000"/>
              </a:solidFill>
              <a:latin typeface="Tw Cen MT" panose="020B0602020104020603"/>
              <a:ea typeface="+mn-ea"/>
              <a:cs typeface="+mn-cs"/>
            </a:rPr>
            <a:t>Phase One: </a:t>
          </a:r>
          <a:r>
            <a:rPr lang="en-US" sz="800" dirty="0">
              <a:solidFill>
                <a:srgbClr val="C00000"/>
              </a:solidFill>
              <a:latin typeface="Tw Cen MT" panose="020B0602020104020603"/>
              <a:ea typeface="+mn-ea"/>
              <a:cs typeface="+mn-cs"/>
            </a:rPr>
            <a:t>Examining definitions &amp; demographics on disability and OA</a:t>
          </a:r>
        </a:p>
      </dgm:t>
      <dgm:extLst>
        <a:ext uri="{E40237B7-FDA0-4F09-8148-C483321AD2D9}">
          <dgm14:cNvPr xmlns:dgm14="http://schemas.microsoft.com/office/drawing/2010/diagram" id="0" name="" descr="an image of a circle split into three parts, with arrows showing the direction of the study in each part. The last arrow points to the beginning of phase one, making the process never-ending."/>
        </a:ext>
      </dgm:extLst>
    </dgm:pt>
    <dgm:pt modelId="{EC136AE1-664A-DE46-952A-9798BDD70F23}" type="parTrans" cxnId="{2C0A3290-B966-F447-9C77-8C94B4D3FCBB}">
      <dgm:prSet/>
      <dgm:spPr/>
      <dgm:t>
        <a:bodyPr/>
        <a:lstStyle/>
        <a:p>
          <a:endParaRPr lang="en-US"/>
        </a:p>
      </dgm:t>
    </dgm:pt>
    <dgm:pt modelId="{23F99B83-1CD3-7C42-924E-61FF3A1C8DB0}" type="sibTrans" cxnId="{2C0A3290-B966-F447-9C77-8C94B4D3FCBB}">
      <dgm:prSet/>
      <dgm:spPr/>
      <dgm:t>
        <a:bodyPr/>
        <a:lstStyle/>
        <a:p>
          <a:endParaRPr lang="en-US"/>
        </a:p>
      </dgm:t>
    </dgm:pt>
    <dgm:pt modelId="{A5863488-53FE-6A4B-9987-3681086DCFFE}">
      <dgm:prSet phldrT="[Text]" custT="1"/>
      <dgm:spPr>
        <a:xfrm>
          <a:off x="3201733" y="478528"/>
          <a:ext cx="4231195" cy="4231195"/>
        </a:xfrm>
        <a:prstGeom prst="pie">
          <a:avLst>
            <a:gd name="adj1" fmla="val 1800000"/>
            <a:gd name="adj2" fmla="val 9000000"/>
          </a:avLst>
        </a:prstGeom>
        <a:gradFill rotWithShape="0">
          <a:gsLst>
            <a:gs pos="0">
              <a:srgbClr val="27CED7">
                <a:hueOff val="0"/>
                <a:satOff val="0"/>
                <a:lumOff val="0"/>
                <a:alphaOff val="0"/>
                <a:tint val="100000"/>
                <a:shade val="85000"/>
                <a:satMod val="100000"/>
                <a:lumMod val="100000"/>
              </a:srgbClr>
            </a:gs>
            <a:gs pos="100000">
              <a:srgbClr val="27CED7">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27CED7">
              <a:hueOff val="0"/>
              <a:satOff val="0"/>
              <a:lumOff val="0"/>
              <a:alphaOff val="0"/>
              <a:shade val="35000"/>
              <a:satMod val="160000"/>
            </a:srgbClr>
          </a:contourClr>
        </a:sp3d>
      </dgm:spPr>
      <dgm:t>
        <a:bodyPr/>
        <a:lstStyle/>
        <a:p>
          <a:pPr algn="ctr">
            <a:buNone/>
          </a:pPr>
          <a:r>
            <a:rPr lang="en-US" sz="1000" u="sng" dirty="0">
              <a:solidFill>
                <a:srgbClr val="C00000"/>
              </a:solidFill>
              <a:latin typeface="Tw Cen MT" panose="020B0602020104020603"/>
              <a:ea typeface="+mn-ea"/>
              <a:cs typeface="+mn-cs"/>
            </a:rPr>
            <a:t>Phase Two: </a:t>
          </a:r>
          <a:r>
            <a:rPr lang="en-US" sz="1000" dirty="0">
              <a:solidFill>
                <a:srgbClr val="C00000"/>
              </a:solidFill>
              <a:latin typeface="Tw Cen MT" panose="020B0602020104020603"/>
              <a:ea typeface="+mn-ea"/>
              <a:cs typeface="+mn-cs"/>
            </a:rPr>
            <a:t>Examining OAS in comparable jurisdictions</a:t>
          </a:r>
        </a:p>
      </dgm:t>
    </dgm:pt>
    <dgm:pt modelId="{DB5EE65F-869B-9A40-9CAF-C40970EA2944}" type="parTrans" cxnId="{6EF13DED-A19B-7945-9E4E-24455D146B6D}">
      <dgm:prSet/>
      <dgm:spPr/>
      <dgm:t>
        <a:bodyPr/>
        <a:lstStyle/>
        <a:p>
          <a:endParaRPr lang="en-US"/>
        </a:p>
      </dgm:t>
    </dgm:pt>
    <dgm:pt modelId="{5BD6E42F-E4EC-E244-8265-CD0C1AD3E387}" type="sibTrans" cxnId="{6EF13DED-A19B-7945-9E4E-24455D146B6D}">
      <dgm:prSet/>
      <dgm:spPr/>
      <dgm:t>
        <a:bodyPr/>
        <a:lstStyle/>
        <a:p>
          <a:endParaRPr lang="en-US"/>
        </a:p>
      </dgm:t>
    </dgm:pt>
    <dgm:pt modelId="{B7C24F93-CD51-024B-B955-9D3E443BFF48}">
      <dgm:prSet phldrT="[Text]" custT="1"/>
      <dgm:spPr>
        <a:xfrm>
          <a:off x="3114591" y="327413"/>
          <a:ext cx="4231195" cy="4231195"/>
        </a:xfrm>
        <a:prstGeom prst="pie">
          <a:avLst>
            <a:gd name="adj1" fmla="val 9000000"/>
            <a:gd name="adj2" fmla="val 16200000"/>
          </a:avLst>
        </a:prstGeom>
        <a:gradFill rotWithShape="0">
          <a:gsLst>
            <a:gs pos="0">
              <a:srgbClr val="42BA97">
                <a:hueOff val="0"/>
                <a:satOff val="0"/>
                <a:lumOff val="0"/>
                <a:alphaOff val="0"/>
                <a:tint val="100000"/>
                <a:shade val="85000"/>
                <a:satMod val="100000"/>
                <a:lumMod val="100000"/>
              </a:srgbClr>
            </a:gs>
            <a:gs pos="100000">
              <a:srgbClr val="42BA97">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42BA97">
              <a:hueOff val="0"/>
              <a:satOff val="0"/>
              <a:lumOff val="0"/>
              <a:alphaOff val="0"/>
              <a:shade val="35000"/>
              <a:satMod val="160000"/>
            </a:srgbClr>
          </a:contourClr>
        </a:sp3d>
      </dgm:spPr>
      <dgm:t>
        <a:bodyPr/>
        <a:lstStyle/>
        <a:p>
          <a:pPr algn="ctr">
            <a:buNone/>
          </a:pPr>
          <a:r>
            <a:rPr lang="en-US" sz="800" u="sng" dirty="0">
              <a:solidFill>
                <a:srgbClr val="C00000"/>
              </a:solidFill>
              <a:latin typeface="Tw Cen MT" panose="020B0602020104020603"/>
              <a:ea typeface="+mn-ea"/>
              <a:cs typeface="+mn-cs"/>
            </a:rPr>
            <a:t>Phase Three: </a:t>
          </a:r>
          <a:r>
            <a:rPr lang="en-US" sz="800" dirty="0">
              <a:solidFill>
                <a:srgbClr val="C00000"/>
              </a:solidFill>
              <a:latin typeface="Tw Cen MT" panose="020B0602020104020603"/>
              <a:ea typeface="+mn-ea"/>
              <a:cs typeface="+mn-cs"/>
            </a:rPr>
            <a:t>Examining research literature on service provision</a:t>
          </a:r>
        </a:p>
      </dgm:t>
    </dgm:pt>
    <dgm:pt modelId="{44C2FA09-7AC8-6E43-B390-410A561268F8}" type="parTrans" cxnId="{CD36520F-CBAD-8E4A-8B80-99D4149D2256}">
      <dgm:prSet/>
      <dgm:spPr/>
      <dgm:t>
        <a:bodyPr/>
        <a:lstStyle/>
        <a:p>
          <a:endParaRPr lang="en-US"/>
        </a:p>
      </dgm:t>
    </dgm:pt>
    <dgm:pt modelId="{0C2F54F7-9ADB-B749-8C4D-066805B52400}" type="sibTrans" cxnId="{CD36520F-CBAD-8E4A-8B80-99D4149D2256}">
      <dgm:prSet/>
      <dgm:spPr/>
      <dgm:t>
        <a:bodyPr/>
        <a:lstStyle/>
        <a:p>
          <a:endParaRPr lang="en-US"/>
        </a:p>
      </dgm:t>
    </dgm:pt>
    <dgm:pt modelId="{D9129D0D-A222-E24F-B087-C65473126EC6}" type="pres">
      <dgm:prSet presAssocID="{E12E5448-4221-6A46-9FF3-7AB483B320F9}" presName="compositeShape" presStyleCnt="0">
        <dgm:presLayoutVars>
          <dgm:chMax val="7"/>
          <dgm:dir/>
          <dgm:resizeHandles val="exact"/>
        </dgm:presLayoutVars>
      </dgm:prSet>
      <dgm:spPr/>
    </dgm:pt>
    <dgm:pt modelId="{94B5ED00-B6BA-AB41-BC5D-99BB115C9523}" type="pres">
      <dgm:prSet presAssocID="{E12E5448-4221-6A46-9FF3-7AB483B320F9}" presName="wedge1" presStyleLbl="node1" presStyleIdx="0" presStyleCnt="3"/>
      <dgm:spPr/>
    </dgm:pt>
    <dgm:pt modelId="{3312B791-446D-CA41-9CCB-AF3264720E77}" type="pres">
      <dgm:prSet presAssocID="{E12E5448-4221-6A46-9FF3-7AB483B320F9}" presName="dummy1a" presStyleCnt="0"/>
      <dgm:spPr/>
    </dgm:pt>
    <dgm:pt modelId="{32E849EE-B343-3844-A7C3-AF2EC1AFCA50}" type="pres">
      <dgm:prSet presAssocID="{E12E5448-4221-6A46-9FF3-7AB483B320F9}" presName="dummy1b" presStyleCnt="0"/>
      <dgm:spPr/>
    </dgm:pt>
    <dgm:pt modelId="{8BFCCF95-6FF8-1F43-AFED-30B437A8688E}" type="pres">
      <dgm:prSet presAssocID="{E12E5448-4221-6A46-9FF3-7AB483B320F9}" presName="wedge1Tx" presStyleLbl="node1" presStyleIdx="0" presStyleCnt="3">
        <dgm:presLayoutVars>
          <dgm:chMax val="0"/>
          <dgm:chPref val="0"/>
          <dgm:bulletEnabled val="1"/>
        </dgm:presLayoutVars>
      </dgm:prSet>
      <dgm:spPr/>
    </dgm:pt>
    <dgm:pt modelId="{435C9612-2876-3E4E-B3BF-687C01651C05}" type="pres">
      <dgm:prSet presAssocID="{E12E5448-4221-6A46-9FF3-7AB483B320F9}" presName="wedge2" presStyleLbl="node1" presStyleIdx="1" presStyleCnt="3"/>
      <dgm:spPr/>
    </dgm:pt>
    <dgm:pt modelId="{D7465A7A-EA53-7E4A-947E-430E87FDB31E}" type="pres">
      <dgm:prSet presAssocID="{E12E5448-4221-6A46-9FF3-7AB483B320F9}" presName="dummy2a" presStyleCnt="0"/>
      <dgm:spPr/>
    </dgm:pt>
    <dgm:pt modelId="{31B57704-04EB-7A49-8823-3F0776EE78B4}" type="pres">
      <dgm:prSet presAssocID="{E12E5448-4221-6A46-9FF3-7AB483B320F9}" presName="dummy2b" presStyleCnt="0"/>
      <dgm:spPr/>
    </dgm:pt>
    <dgm:pt modelId="{6113B592-005F-E74F-9CA2-8395F8D3868C}" type="pres">
      <dgm:prSet presAssocID="{E12E5448-4221-6A46-9FF3-7AB483B320F9}" presName="wedge2Tx" presStyleLbl="node1" presStyleIdx="1" presStyleCnt="3">
        <dgm:presLayoutVars>
          <dgm:chMax val="0"/>
          <dgm:chPref val="0"/>
          <dgm:bulletEnabled val="1"/>
        </dgm:presLayoutVars>
      </dgm:prSet>
      <dgm:spPr/>
    </dgm:pt>
    <dgm:pt modelId="{00F41E68-4FEC-6A41-AB4B-121EC0FA2A84}" type="pres">
      <dgm:prSet presAssocID="{E12E5448-4221-6A46-9FF3-7AB483B320F9}" presName="wedge3" presStyleLbl="node1" presStyleIdx="2" presStyleCnt="3"/>
      <dgm:spPr/>
    </dgm:pt>
    <dgm:pt modelId="{576DA668-7F44-7243-9324-7046FD3D68CF}" type="pres">
      <dgm:prSet presAssocID="{E12E5448-4221-6A46-9FF3-7AB483B320F9}" presName="dummy3a" presStyleCnt="0"/>
      <dgm:spPr/>
    </dgm:pt>
    <dgm:pt modelId="{3897A9CB-2A11-564C-B23E-3C4BC46391CA}" type="pres">
      <dgm:prSet presAssocID="{E12E5448-4221-6A46-9FF3-7AB483B320F9}" presName="dummy3b" presStyleCnt="0"/>
      <dgm:spPr/>
    </dgm:pt>
    <dgm:pt modelId="{3EE7302D-8E2E-1B4A-AC45-D00D0C6E6102}" type="pres">
      <dgm:prSet presAssocID="{E12E5448-4221-6A46-9FF3-7AB483B320F9}" presName="wedge3Tx" presStyleLbl="node1" presStyleIdx="2" presStyleCnt="3">
        <dgm:presLayoutVars>
          <dgm:chMax val="0"/>
          <dgm:chPref val="0"/>
          <dgm:bulletEnabled val="1"/>
        </dgm:presLayoutVars>
      </dgm:prSet>
      <dgm:spPr/>
    </dgm:pt>
    <dgm:pt modelId="{39F4E6F6-0E2F-1042-9DF1-EF8708A1269C}" type="pres">
      <dgm:prSet presAssocID="{23F99B83-1CD3-7C42-924E-61FF3A1C8DB0}" presName="arrowWedge1" presStyleLbl="fgSibTrans2D1" presStyleIdx="0" presStyleCnt="3"/>
      <dgm:spPr>
        <a:xfrm>
          <a:off x="3027294" y="65482"/>
          <a:ext cx="4755057" cy="4755057"/>
        </a:xfrm>
        <a:prstGeom prst="circularArrow">
          <a:avLst>
            <a:gd name="adj1" fmla="val 5085"/>
            <a:gd name="adj2" fmla="val 327528"/>
            <a:gd name="adj3" fmla="val 1472472"/>
            <a:gd name="adj4" fmla="val 16199432"/>
            <a:gd name="adj5" fmla="val 5932"/>
          </a:avLst>
        </a:prstGeom>
        <a:gradFill rotWithShape="0">
          <a:gsLst>
            <a:gs pos="0">
              <a:srgbClr val="2683C6">
                <a:hueOff val="0"/>
                <a:satOff val="0"/>
                <a:lumOff val="0"/>
                <a:alphaOff val="0"/>
                <a:tint val="100000"/>
                <a:shade val="85000"/>
                <a:satMod val="100000"/>
                <a:lumMod val="100000"/>
              </a:srgbClr>
            </a:gs>
            <a:gs pos="100000">
              <a:srgbClr val="2683C6">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2683C6">
              <a:hueOff val="0"/>
              <a:satOff val="0"/>
              <a:lumOff val="0"/>
              <a:alphaOff val="0"/>
              <a:shade val="35000"/>
              <a:satMod val="160000"/>
            </a:srgbClr>
          </a:contourClr>
        </a:sp3d>
      </dgm:spPr>
    </dgm:pt>
    <dgm:pt modelId="{1D03CCC5-B8E1-A948-B286-0317EB579212}" type="pres">
      <dgm:prSet presAssocID="{5BD6E42F-E4EC-E244-8265-CD0C1AD3E387}" presName="arrowWedge2" presStyleLbl="fgSibTrans2D1" presStyleIdx="1" presStyleCnt="3"/>
      <dgm:spPr>
        <a:xfrm>
          <a:off x="2939802" y="216329"/>
          <a:ext cx="4755057" cy="4755057"/>
        </a:xfrm>
        <a:prstGeom prst="circularArrow">
          <a:avLst>
            <a:gd name="adj1" fmla="val 5085"/>
            <a:gd name="adj2" fmla="val 327528"/>
            <a:gd name="adj3" fmla="val 8671970"/>
            <a:gd name="adj4" fmla="val 1800502"/>
            <a:gd name="adj5" fmla="val 5932"/>
          </a:avLst>
        </a:prstGeom>
        <a:gradFill rotWithShape="0">
          <a:gsLst>
            <a:gs pos="0">
              <a:srgbClr val="27CED7">
                <a:hueOff val="0"/>
                <a:satOff val="0"/>
                <a:lumOff val="0"/>
                <a:alphaOff val="0"/>
                <a:tint val="100000"/>
                <a:shade val="85000"/>
                <a:satMod val="100000"/>
                <a:lumMod val="100000"/>
              </a:srgbClr>
            </a:gs>
            <a:gs pos="100000">
              <a:srgbClr val="27CED7">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27CED7">
              <a:hueOff val="0"/>
              <a:satOff val="0"/>
              <a:lumOff val="0"/>
              <a:alphaOff val="0"/>
              <a:shade val="35000"/>
              <a:satMod val="160000"/>
            </a:srgbClr>
          </a:contourClr>
        </a:sp3d>
      </dgm:spPr>
    </dgm:pt>
    <dgm:pt modelId="{980169E0-19E3-9D47-BF3C-143519FBCB69}" type="pres">
      <dgm:prSet presAssocID="{0C2F54F7-9ADB-B749-8C4D-066805B52400}" presName="arrowWedge3" presStyleLbl="fgSibTrans2D1" presStyleIdx="2" presStyleCnt="3"/>
      <dgm:spPr>
        <a:xfrm>
          <a:off x="2852311" y="65482"/>
          <a:ext cx="4755057" cy="4755057"/>
        </a:xfrm>
        <a:prstGeom prst="circularArrow">
          <a:avLst>
            <a:gd name="adj1" fmla="val 5085"/>
            <a:gd name="adj2" fmla="val 327528"/>
            <a:gd name="adj3" fmla="val 15873039"/>
            <a:gd name="adj4" fmla="val 9000000"/>
            <a:gd name="adj5" fmla="val 5932"/>
          </a:avLst>
        </a:prstGeom>
        <a:gradFill rotWithShape="0">
          <a:gsLst>
            <a:gs pos="0">
              <a:srgbClr val="42BA97">
                <a:hueOff val="0"/>
                <a:satOff val="0"/>
                <a:lumOff val="0"/>
                <a:alphaOff val="0"/>
                <a:tint val="100000"/>
                <a:shade val="85000"/>
                <a:satMod val="100000"/>
                <a:lumMod val="100000"/>
              </a:srgbClr>
            </a:gs>
            <a:gs pos="100000">
              <a:srgbClr val="42BA97">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42BA97">
              <a:hueOff val="0"/>
              <a:satOff val="0"/>
              <a:lumOff val="0"/>
              <a:alphaOff val="0"/>
              <a:shade val="35000"/>
              <a:satMod val="160000"/>
            </a:srgbClr>
          </a:contourClr>
        </a:sp3d>
      </dgm:spPr>
    </dgm:pt>
  </dgm:ptLst>
  <dgm:cxnLst>
    <dgm:cxn modelId="{CD36520F-CBAD-8E4A-8B80-99D4149D2256}" srcId="{E12E5448-4221-6A46-9FF3-7AB483B320F9}" destId="{B7C24F93-CD51-024B-B955-9D3E443BFF48}" srcOrd="2" destOrd="0" parTransId="{44C2FA09-7AC8-6E43-B390-410A561268F8}" sibTransId="{0C2F54F7-9ADB-B749-8C4D-066805B52400}"/>
    <dgm:cxn modelId="{B9525B66-5B0B-8A46-9647-42E270565BFC}" type="presOf" srcId="{B7C24F93-CD51-024B-B955-9D3E443BFF48}" destId="{00F41E68-4FEC-6A41-AB4B-121EC0FA2A84}" srcOrd="0" destOrd="0" presId="urn:microsoft.com/office/officeart/2005/8/layout/cycle8"/>
    <dgm:cxn modelId="{BF15D374-603D-D14D-8BED-B4285C57EB80}" type="presOf" srcId="{A5863488-53FE-6A4B-9987-3681086DCFFE}" destId="{6113B592-005F-E74F-9CA2-8395F8D3868C}" srcOrd="1" destOrd="0" presId="urn:microsoft.com/office/officeart/2005/8/layout/cycle8"/>
    <dgm:cxn modelId="{2C0A3290-B966-F447-9C77-8C94B4D3FCBB}" srcId="{E12E5448-4221-6A46-9FF3-7AB483B320F9}" destId="{444D7143-E571-1845-8667-0DF843CE62E0}" srcOrd="0" destOrd="0" parTransId="{EC136AE1-664A-DE46-952A-9798BDD70F23}" sibTransId="{23F99B83-1CD3-7C42-924E-61FF3A1C8DB0}"/>
    <dgm:cxn modelId="{6B8D22A8-8957-9A42-A663-57017A8F8218}" type="presOf" srcId="{444D7143-E571-1845-8667-0DF843CE62E0}" destId="{8BFCCF95-6FF8-1F43-AFED-30B437A8688E}" srcOrd="1" destOrd="0" presId="urn:microsoft.com/office/officeart/2005/8/layout/cycle8"/>
    <dgm:cxn modelId="{EE04E0CA-0B78-9048-9F01-473BE7FC5FF0}" type="presOf" srcId="{B7C24F93-CD51-024B-B955-9D3E443BFF48}" destId="{3EE7302D-8E2E-1B4A-AC45-D00D0C6E6102}" srcOrd="1" destOrd="0" presId="urn:microsoft.com/office/officeart/2005/8/layout/cycle8"/>
    <dgm:cxn modelId="{F713DECF-7C37-1344-9EB2-B63573B835CD}" type="presOf" srcId="{A5863488-53FE-6A4B-9987-3681086DCFFE}" destId="{435C9612-2876-3E4E-B3BF-687C01651C05}" srcOrd="0" destOrd="0" presId="urn:microsoft.com/office/officeart/2005/8/layout/cycle8"/>
    <dgm:cxn modelId="{B3F0E5E0-57BC-7D4A-A715-4DE94F14E86A}" type="presOf" srcId="{E12E5448-4221-6A46-9FF3-7AB483B320F9}" destId="{D9129D0D-A222-E24F-B087-C65473126EC6}" srcOrd="0" destOrd="0" presId="urn:microsoft.com/office/officeart/2005/8/layout/cycle8"/>
    <dgm:cxn modelId="{6F13A8E5-06F9-144F-8047-A7B42AC2FA35}" type="presOf" srcId="{444D7143-E571-1845-8667-0DF843CE62E0}" destId="{94B5ED00-B6BA-AB41-BC5D-99BB115C9523}" srcOrd="0" destOrd="0" presId="urn:microsoft.com/office/officeart/2005/8/layout/cycle8"/>
    <dgm:cxn modelId="{6EF13DED-A19B-7945-9E4E-24455D146B6D}" srcId="{E12E5448-4221-6A46-9FF3-7AB483B320F9}" destId="{A5863488-53FE-6A4B-9987-3681086DCFFE}" srcOrd="1" destOrd="0" parTransId="{DB5EE65F-869B-9A40-9CAF-C40970EA2944}" sibTransId="{5BD6E42F-E4EC-E244-8265-CD0C1AD3E387}"/>
    <dgm:cxn modelId="{12357C20-315B-854A-8D5E-BAE3E49962F0}" type="presParOf" srcId="{D9129D0D-A222-E24F-B087-C65473126EC6}" destId="{94B5ED00-B6BA-AB41-BC5D-99BB115C9523}" srcOrd="0" destOrd="0" presId="urn:microsoft.com/office/officeart/2005/8/layout/cycle8"/>
    <dgm:cxn modelId="{590DC1F2-E4D8-8E46-A096-E1C147441011}" type="presParOf" srcId="{D9129D0D-A222-E24F-B087-C65473126EC6}" destId="{3312B791-446D-CA41-9CCB-AF3264720E77}" srcOrd="1" destOrd="0" presId="urn:microsoft.com/office/officeart/2005/8/layout/cycle8"/>
    <dgm:cxn modelId="{00BA13AD-D65B-664A-B85A-3079F9C80F08}" type="presParOf" srcId="{D9129D0D-A222-E24F-B087-C65473126EC6}" destId="{32E849EE-B343-3844-A7C3-AF2EC1AFCA50}" srcOrd="2" destOrd="0" presId="urn:microsoft.com/office/officeart/2005/8/layout/cycle8"/>
    <dgm:cxn modelId="{D348CA8C-8C84-3A4F-94BC-B8F6E6A4DEB5}" type="presParOf" srcId="{D9129D0D-A222-E24F-B087-C65473126EC6}" destId="{8BFCCF95-6FF8-1F43-AFED-30B437A8688E}" srcOrd="3" destOrd="0" presId="urn:microsoft.com/office/officeart/2005/8/layout/cycle8"/>
    <dgm:cxn modelId="{B4E5B5EB-1C42-7846-8268-CB9C64D68B2D}" type="presParOf" srcId="{D9129D0D-A222-E24F-B087-C65473126EC6}" destId="{435C9612-2876-3E4E-B3BF-687C01651C05}" srcOrd="4" destOrd="0" presId="urn:microsoft.com/office/officeart/2005/8/layout/cycle8"/>
    <dgm:cxn modelId="{169DF7DB-1652-E74D-902D-FCF6004F304F}" type="presParOf" srcId="{D9129D0D-A222-E24F-B087-C65473126EC6}" destId="{D7465A7A-EA53-7E4A-947E-430E87FDB31E}" srcOrd="5" destOrd="0" presId="urn:microsoft.com/office/officeart/2005/8/layout/cycle8"/>
    <dgm:cxn modelId="{AE4F7803-2175-5748-91E3-D1589FD9889E}" type="presParOf" srcId="{D9129D0D-A222-E24F-B087-C65473126EC6}" destId="{31B57704-04EB-7A49-8823-3F0776EE78B4}" srcOrd="6" destOrd="0" presId="urn:microsoft.com/office/officeart/2005/8/layout/cycle8"/>
    <dgm:cxn modelId="{672D61BA-393D-4D40-941B-B3E0D2083F00}" type="presParOf" srcId="{D9129D0D-A222-E24F-B087-C65473126EC6}" destId="{6113B592-005F-E74F-9CA2-8395F8D3868C}" srcOrd="7" destOrd="0" presId="urn:microsoft.com/office/officeart/2005/8/layout/cycle8"/>
    <dgm:cxn modelId="{05BBCBD6-08F6-094B-92BD-DB912DBF6494}" type="presParOf" srcId="{D9129D0D-A222-E24F-B087-C65473126EC6}" destId="{00F41E68-4FEC-6A41-AB4B-121EC0FA2A84}" srcOrd="8" destOrd="0" presId="urn:microsoft.com/office/officeart/2005/8/layout/cycle8"/>
    <dgm:cxn modelId="{B9BFDAD5-D74E-554B-976A-17372A8A9DAB}" type="presParOf" srcId="{D9129D0D-A222-E24F-B087-C65473126EC6}" destId="{576DA668-7F44-7243-9324-7046FD3D68CF}" srcOrd="9" destOrd="0" presId="urn:microsoft.com/office/officeart/2005/8/layout/cycle8"/>
    <dgm:cxn modelId="{E17B827E-0701-114A-AC90-9E4C35D480D3}" type="presParOf" srcId="{D9129D0D-A222-E24F-B087-C65473126EC6}" destId="{3897A9CB-2A11-564C-B23E-3C4BC46391CA}" srcOrd="10" destOrd="0" presId="urn:microsoft.com/office/officeart/2005/8/layout/cycle8"/>
    <dgm:cxn modelId="{45768316-B395-DE47-8D1C-81E770C86487}" type="presParOf" srcId="{D9129D0D-A222-E24F-B087-C65473126EC6}" destId="{3EE7302D-8E2E-1B4A-AC45-D00D0C6E6102}" srcOrd="11" destOrd="0" presId="urn:microsoft.com/office/officeart/2005/8/layout/cycle8"/>
    <dgm:cxn modelId="{1E56637F-836A-824B-A325-D9E8A6557695}" type="presParOf" srcId="{D9129D0D-A222-E24F-B087-C65473126EC6}" destId="{39F4E6F6-0E2F-1042-9DF1-EF8708A1269C}" srcOrd="12" destOrd="0" presId="urn:microsoft.com/office/officeart/2005/8/layout/cycle8"/>
    <dgm:cxn modelId="{6964DE96-F20D-654B-8BC2-428A06BE1F68}" type="presParOf" srcId="{D9129D0D-A222-E24F-B087-C65473126EC6}" destId="{1D03CCC5-B8E1-A948-B286-0317EB579212}" srcOrd="13" destOrd="0" presId="urn:microsoft.com/office/officeart/2005/8/layout/cycle8"/>
    <dgm:cxn modelId="{7279F10F-5BFF-5F41-BFBB-0369AE0AA28D}" type="presParOf" srcId="{D9129D0D-A222-E24F-B087-C65473126EC6}" destId="{980169E0-19E3-9D47-BF3C-143519FBCB69}" srcOrd="14" destOrd="0" presId="urn:microsoft.com/office/officeart/2005/8/layout/cycle8"/>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D111E8-0532-4DAF-A1E8-1DFED153AC02}">
      <dsp:nvSpPr>
        <dsp:cNvPr id="0" name=""/>
        <dsp:cNvSpPr/>
      </dsp:nvSpPr>
      <dsp:spPr>
        <a:xfrm>
          <a:off x="238930" y="0"/>
          <a:ext cx="2459990" cy="2459990"/>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en-US" sz="1100" kern="1200">
              <a:latin typeface="+mn-lt"/>
            </a:rPr>
            <a:t>Mobility</a:t>
          </a:r>
        </a:p>
      </dsp:txBody>
      <dsp:txXfrm>
        <a:off x="1007676" y="122999"/>
        <a:ext cx="922496" cy="245999"/>
      </dsp:txXfrm>
    </dsp:sp>
    <dsp:sp modelId="{EF449B8A-E66E-4791-B3EF-7C08140B9D2A}">
      <dsp:nvSpPr>
        <dsp:cNvPr id="0" name=""/>
        <dsp:cNvSpPr/>
      </dsp:nvSpPr>
      <dsp:spPr>
        <a:xfrm>
          <a:off x="423429" y="368998"/>
          <a:ext cx="2090991" cy="2090991"/>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en-US" sz="1100" kern="1200">
              <a:latin typeface="+mn-lt"/>
            </a:rPr>
            <a:t>Spaces and Places</a:t>
          </a:r>
        </a:p>
      </dsp:txBody>
      <dsp:txXfrm>
        <a:off x="1018054" y="489230"/>
        <a:ext cx="901740" cy="240464"/>
      </dsp:txXfrm>
    </dsp:sp>
    <dsp:sp modelId="{C4F910D4-F9F9-4914-BF1B-791EB599CCD4}">
      <dsp:nvSpPr>
        <dsp:cNvPr id="0" name=""/>
        <dsp:cNvSpPr/>
      </dsp:nvSpPr>
      <dsp:spPr>
        <a:xfrm>
          <a:off x="607928" y="737996"/>
          <a:ext cx="1721993" cy="1721993"/>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r>
            <a:rPr lang="en-US" sz="1000" kern="1200"/>
            <a:t>Information</a:t>
          </a:r>
        </a:p>
      </dsp:txBody>
      <dsp:txXfrm>
        <a:off x="1023359" y="856814"/>
        <a:ext cx="891131" cy="237635"/>
      </dsp:txXfrm>
    </dsp:sp>
    <dsp:sp modelId="{D48190FE-DD35-4427-B832-714AB70F2778}">
      <dsp:nvSpPr>
        <dsp:cNvPr id="0" name=""/>
        <dsp:cNvSpPr/>
      </dsp:nvSpPr>
      <dsp:spPr>
        <a:xfrm>
          <a:off x="792427" y="1106995"/>
          <a:ext cx="1352994" cy="1352994"/>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US" sz="1100" kern="1200"/>
            <a:t>Learning</a:t>
          </a:r>
        </a:p>
      </dsp:txBody>
      <dsp:txXfrm>
        <a:off x="1103616" y="1228765"/>
        <a:ext cx="730617" cy="243539"/>
      </dsp:txXfrm>
    </dsp:sp>
    <dsp:sp modelId="{41126265-04EB-B742-AEFC-CB42DBEBE65A}">
      <dsp:nvSpPr>
        <dsp:cNvPr id="0" name=""/>
        <dsp:cNvSpPr/>
      </dsp:nvSpPr>
      <dsp:spPr>
        <a:xfrm>
          <a:off x="976927" y="1475994"/>
          <a:ext cx="983996" cy="983996"/>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kern="1200"/>
            <a:t>Bonding</a:t>
          </a:r>
        </a:p>
      </dsp:txBody>
      <dsp:txXfrm>
        <a:off x="1121029" y="1721993"/>
        <a:ext cx="695790" cy="49199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B5ED00-B6BA-AB41-BC5D-99BB115C9523}">
      <dsp:nvSpPr>
        <dsp:cNvPr id="0" name=""/>
        <dsp:cNvSpPr/>
      </dsp:nvSpPr>
      <dsp:spPr>
        <a:xfrm>
          <a:off x="395526" y="160105"/>
          <a:ext cx="2069058" cy="2069058"/>
        </a:xfrm>
        <a:prstGeom prst="pie">
          <a:avLst>
            <a:gd name="adj1" fmla="val 16200000"/>
            <a:gd name="adj2" fmla="val 1800000"/>
          </a:avLst>
        </a:prstGeom>
        <a:gradFill rotWithShape="0">
          <a:gsLst>
            <a:gs pos="0">
              <a:srgbClr val="2683C6">
                <a:hueOff val="0"/>
                <a:satOff val="0"/>
                <a:lumOff val="0"/>
                <a:alphaOff val="0"/>
                <a:tint val="100000"/>
                <a:shade val="85000"/>
                <a:satMod val="100000"/>
                <a:lumMod val="100000"/>
              </a:srgbClr>
            </a:gs>
            <a:gs pos="100000">
              <a:srgbClr val="2683C6">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2683C6">
              <a:hueOff val="0"/>
              <a:satOff val="0"/>
              <a:lumOff val="0"/>
              <a:alphaOff val="0"/>
              <a:shade val="35000"/>
              <a:satMod val="160000"/>
            </a:srgbClr>
          </a:contourClr>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l" defTabSz="355600">
            <a:lnSpc>
              <a:spcPct val="90000"/>
            </a:lnSpc>
            <a:spcBef>
              <a:spcPct val="0"/>
            </a:spcBef>
            <a:spcAft>
              <a:spcPct val="35000"/>
            </a:spcAft>
            <a:buNone/>
          </a:pPr>
          <a:r>
            <a:rPr lang="en-US" sz="800" u="sng" kern="1200" dirty="0">
              <a:solidFill>
                <a:srgbClr val="C00000"/>
              </a:solidFill>
              <a:latin typeface="Tw Cen MT" panose="020B0602020104020603"/>
              <a:ea typeface="+mn-ea"/>
              <a:cs typeface="+mn-cs"/>
            </a:rPr>
            <a:t>Phase One: </a:t>
          </a:r>
          <a:r>
            <a:rPr lang="en-US" sz="800" kern="1200" dirty="0">
              <a:solidFill>
                <a:srgbClr val="C00000"/>
              </a:solidFill>
              <a:latin typeface="Tw Cen MT" panose="020B0602020104020603"/>
              <a:ea typeface="+mn-ea"/>
              <a:cs typeface="+mn-cs"/>
            </a:rPr>
            <a:t>Examining definitions &amp; demographics on disability and OA</a:t>
          </a:r>
        </a:p>
      </dsp:txBody>
      <dsp:txXfrm>
        <a:off x="1594187" y="688730"/>
        <a:ext cx="522515" cy="435429"/>
      </dsp:txXfrm>
    </dsp:sp>
    <dsp:sp modelId="{435C9612-2876-3E4E-B3BF-687C01651C05}">
      <dsp:nvSpPr>
        <dsp:cNvPr id="0" name=""/>
        <dsp:cNvSpPr/>
      </dsp:nvSpPr>
      <dsp:spPr>
        <a:xfrm>
          <a:off x="352914" y="234000"/>
          <a:ext cx="2069058" cy="2069058"/>
        </a:xfrm>
        <a:prstGeom prst="pie">
          <a:avLst>
            <a:gd name="adj1" fmla="val 1800000"/>
            <a:gd name="adj2" fmla="val 9000000"/>
          </a:avLst>
        </a:prstGeom>
        <a:gradFill rotWithShape="0">
          <a:gsLst>
            <a:gs pos="0">
              <a:srgbClr val="27CED7">
                <a:hueOff val="0"/>
                <a:satOff val="0"/>
                <a:lumOff val="0"/>
                <a:alphaOff val="0"/>
                <a:tint val="100000"/>
                <a:shade val="85000"/>
                <a:satMod val="100000"/>
                <a:lumMod val="100000"/>
              </a:srgbClr>
            </a:gs>
            <a:gs pos="100000">
              <a:srgbClr val="27CED7">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27CED7">
              <a:hueOff val="0"/>
              <a:satOff val="0"/>
              <a:lumOff val="0"/>
              <a:alphaOff val="0"/>
              <a:shade val="35000"/>
              <a:satMod val="160000"/>
            </a:srgbClr>
          </a:contourClr>
        </a:sp3d>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u="sng" kern="1200" dirty="0">
              <a:solidFill>
                <a:srgbClr val="C00000"/>
              </a:solidFill>
              <a:latin typeface="Tw Cen MT" panose="020B0602020104020603"/>
              <a:ea typeface="+mn-ea"/>
              <a:cs typeface="+mn-cs"/>
            </a:rPr>
            <a:t>Phase Two: </a:t>
          </a:r>
          <a:r>
            <a:rPr lang="en-US" sz="1000" kern="1200" dirty="0">
              <a:solidFill>
                <a:srgbClr val="C00000"/>
              </a:solidFill>
              <a:latin typeface="Tw Cen MT" panose="020B0602020104020603"/>
              <a:ea typeface="+mn-ea"/>
              <a:cs typeface="+mn-cs"/>
            </a:rPr>
            <a:t>Examining OAS in comparable jurisdictions</a:t>
          </a:r>
        </a:p>
      </dsp:txBody>
      <dsp:txXfrm>
        <a:off x="1007872" y="1655784"/>
        <a:ext cx="783774" cy="383178"/>
      </dsp:txXfrm>
    </dsp:sp>
    <dsp:sp modelId="{00F41E68-4FEC-6A41-AB4B-121EC0FA2A84}">
      <dsp:nvSpPr>
        <dsp:cNvPr id="0" name=""/>
        <dsp:cNvSpPr/>
      </dsp:nvSpPr>
      <dsp:spPr>
        <a:xfrm>
          <a:off x="310301" y="160105"/>
          <a:ext cx="2069058" cy="2069058"/>
        </a:xfrm>
        <a:prstGeom prst="pie">
          <a:avLst>
            <a:gd name="adj1" fmla="val 9000000"/>
            <a:gd name="adj2" fmla="val 16200000"/>
          </a:avLst>
        </a:prstGeom>
        <a:gradFill rotWithShape="0">
          <a:gsLst>
            <a:gs pos="0">
              <a:srgbClr val="42BA97">
                <a:hueOff val="0"/>
                <a:satOff val="0"/>
                <a:lumOff val="0"/>
                <a:alphaOff val="0"/>
                <a:tint val="100000"/>
                <a:shade val="85000"/>
                <a:satMod val="100000"/>
                <a:lumMod val="100000"/>
              </a:srgbClr>
            </a:gs>
            <a:gs pos="100000">
              <a:srgbClr val="42BA97">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42BA97">
              <a:hueOff val="0"/>
              <a:satOff val="0"/>
              <a:lumOff val="0"/>
              <a:alphaOff val="0"/>
              <a:shade val="35000"/>
              <a:satMod val="160000"/>
            </a:srgbClr>
          </a:contourClr>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sz="800" u="sng" kern="1200" dirty="0">
              <a:solidFill>
                <a:srgbClr val="C00000"/>
              </a:solidFill>
              <a:latin typeface="Tw Cen MT" panose="020B0602020104020603"/>
              <a:ea typeface="+mn-ea"/>
              <a:cs typeface="+mn-cs"/>
            </a:rPr>
            <a:t>Phase Three: </a:t>
          </a:r>
          <a:r>
            <a:rPr lang="en-US" sz="800" kern="1200" dirty="0">
              <a:solidFill>
                <a:srgbClr val="C00000"/>
              </a:solidFill>
              <a:latin typeface="Tw Cen MT" panose="020B0602020104020603"/>
              <a:ea typeface="+mn-ea"/>
              <a:cs typeface="+mn-cs"/>
            </a:rPr>
            <a:t>Examining research literature on service provision</a:t>
          </a:r>
        </a:p>
      </dsp:txBody>
      <dsp:txXfrm>
        <a:off x="658184" y="688730"/>
        <a:ext cx="522515" cy="435429"/>
      </dsp:txXfrm>
    </dsp:sp>
    <dsp:sp modelId="{39F4E6F6-0E2F-1042-9DF1-EF8708A1269C}">
      <dsp:nvSpPr>
        <dsp:cNvPr id="0" name=""/>
        <dsp:cNvSpPr/>
      </dsp:nvSpPr>
      <dsp:spPr>
        <a:xfrm>
          <a:off x="267613" y="32021"/>
          <a:ext cx="2325227" cy="2325227"/>
        </a:xfrm>
        <a:prstGeom prst="circularArrow">
          <a:avLst>
            <a:gd name="adj1" fmla="val 5085"/>
            <a:gd name="adj2" fmla="val 327528"/>
            <a:gd name="adj3" fmla="val 1472472"/>
            <a:gd name="adj4" fmla="val 16199432"/>
            <a:gd name="adj5" fmla="val 5932"/>
          </a:avLst>
        </a:prstGeom>
        <a:gradFill rotWithShape="0">
          <a:gsLst>
            <a:gs pos="0">
              <a:srgbClr val="2683C6">
                <a:hueOff val="0"/>
                <a:satOff val="0"/>
                <a:lumOff val="0"/>
                <a:alphaOff val="0"/>
                <a:tint val="100000"/>
                <a:shade val="85000"/>
                <a:satMod val="100000"/>
                <a:lumMod val="100000"/>
              </a:srgbClr>
            </a:gs>
            <a:gs pos="100000">
              <a:srgbClr val="2683C6">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2683C6">
              <a:hueOff val="0"/>
              <a:satOff val="0"/>
              <a:lumOff val="0"/>
              <a:alphaOff val="0"/>
              <a:shade val="35000"/>
              <a:satMod val="160000"/>
            </a:srgbClr>
          </a:contourClr>
        </a:sp3d>
      </dsp:spPr>
      <dsp:style>
        <a:lnRef idx="0">
          <a:scrgbClr r="0" g="0" b="0"/>
        </a:lnRef>
        <a:fillRef idx="3">
          <a:scrgbClr r="0" g="0" b="0"/>
        </a:fillRef>
        <a:effectRef idx="3">
          <a:scrgbClr r="0" g="0" b="0"/>
        </a:effectRef>
        <a:fontRef idx="minor">
          <a:schemeClr val="lt1"/>
        </a:fontRef>
      </dsp:style>
    </dsp:sp>
    <dsp:sp modelId="{1D03CCC5-B8E1-A948-B286-0317EB579212}">
      <dsp:nvSpPr>
        <dsp:cNvPr id="0" name=""/>
        <dsp:cNvSpPr/>
      </dsp:nvSpPr>
      <dsp:spPr>
        <a:xfrm>
          <a:off x="224829" y="105785"/>
          <a:ext cx="2325227" cy="2325227"/>
        </a:xfrm>
        <a:prstGeom prst="circularArrow">
          <a:avLst>
            <a:gd name="adj1" fmla="val 5085"/>
            <a:gd name="adj2" fmla="val 327528"/>
            <a:gd name="adj3" fmla="val 8671970"/>
            <a:gd name="adj4" fmla="val 1800502"/>
            <a:gd name="adj5" fmla="val 5932"/>
          </a:avLst>
        </a:prstGeom>
        <a:gradFill rotWithShape="0">
          <a:gsLst>
            <a:gs pos="0">
              <a:srgbClr val="27CED7">
                <a:hueOff val="0"/>
                <a:satOff val="0"/>
                <a:lumOff val="0"/>
                <a:alphaOff val="0"/>
                <a:tint val="100000"/>
                <a:shade val="85000"/>
                <a:satMod val="100000"/>
                <a:lumMod val="100000"/>
              </a:srgbClr>
            </a:gs>
            <a:gs pos="100000">
              <a:srgbClr val="27CED7">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27CED7">
              <a:hueOff val="0"/>
              <a:satOff val="0"/>
              <a:lumOff val="0"/>
              <a:alphaOff val="0"/>
              <a:shade val="35000"/>
              <a:satMod val="160000"/>
            </a:srgbClr>
          </a:contourClr>
        </a:sp3d>
      </dsp:spPr>
      <dsp:style>
        <a:lnRef idx="0">
          <a:scrgbClr r="0" g="0" b="0"/>
        </a:lnRef>
        <a:fillRef idx="3">
          <a:scrgbClr r="0" g="0" b="0"/>
        </a:fillRef>
        <a:effectRef idx="3">
          <a:scrgbClr r="0" g="0" b="0"/>
        </a:effectRef>
        <a:fontRef idx="minor">
          <a:schemeClr val="lt1"/>
        </a:fontRef>
      </dsp:style>
    </dsp:sp>
    <dsp:sp modelId="{980169E0-19E3-9D47-BF3C-143519FBCB69}">
      <dsp:nvSpPr>
        <dsp:cNvPr id="0" name=""/>
        <dsp:cNvSpPr/>
      </dsp:nvSpPr>
      <dsp:spPr>
        <a:xfrm>
          <a:off x="182046" y="32021"/>
          <a:ext cx="2325227" cy="2325227"/>
        </a:xfrm>
        <a:prstGeom prst="circularArrow">
          <a:avLst>
            <a:gd name="adj1" fmla="val 5085"/>
            <a:gd name="adj2" fmla="val 327528"/>
            <a:gd name="adj3" fmla="val 15873039"/>
            <a:gd name="adj4" fmla="val 9000000"/>
            <a:gd name="adj5" fmla="val 5932"/>
          </a:avLst>
        </a:prstGeom>
        <a:gradFill rotWithShape="0">
          <a:gsLst>
            <a:gs pos="0">
              <a:srgbClr val="42BA97">
                <a:hueOff val="0"/>
                <a:satOff val="0"/>
                <a:lumOff val="0"/>
                <a:alphaOff val="0"/>
                <a:tint val="100000"/>
                <a:shade val="85000"/>
                <a:satMod val="100000"/>
                <a:lumMod val="100000"/>
              </a:srgbClr>
            </a:gs>
            <a:gs pos="100000">
              <a:srgbClr val="42BA97">
                <a:hueOff val="0"/>
                <a:satOff val="0"/>
                <a:lumOff val="0"/>
                <a:alphaOff val="0"/>
                <a:tint val="90000"/>
                <a:shade val="100000"/>
                <a:satMod val="150000"/>
                <a:lumMod val="100000"/>
              </a:srgb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rgbClr val="42BA97">
              <a:hueOff val="0"/>
              <a:satOff val="0"/>
              <a:lumOff val="0"/>
              <a:alphaOff val="0"/>
              <a:shade val="35000"/>
              <a:satMod val="160000"/>
            </a:srgbClr>
          </a:contourClr>
        </a:sp3d>
      </dsp:spPr>
      <dsp:style>
        <a:lnRef idx="0">
          <a:scrgbClr r="0" g="0" b="0"/>
        </a:lnRef>
        <a:fillRef idx="3">
          <a:scrgbClr r="0" g="0" b="0"/>
        </a:fillRef>
        <a:effectRef idx="3">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2.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34761A-D453-C749-B9D1-A2888B9781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31</Pages>
  <Words>11681</Words>
  <Characters>66583</Characters>
  <Application>Microsoft Office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Hayhoe,S</cp:lastModifiedBy>
  <cp:revision>8</cp:revision>
  <cp:lastPrinted>2018-05-24T09:15:00Z</cp:lastPrinted>
  <dcterms:created xsi:type="dcterms:W3CDTF">2019-03-22T23:34:00Z</dcterms:created>
  <dcterms:modified xsi:type="dcterms:W3CDTF">2019-03-26T09:14:00Z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2018-05-01T00:00:00Z</vt:filetime>
  </property>
  <property fmtid="{D5CDD505-2E9C-101B-9397-08002B2CF9AE}" pid="3" name="Creator">
    <vt:lpwstr>Adobe InDesign CS6 (Macintosh)</vt:lpwstr>
  </property>
  <property fmtid="{D5CDD505-2E9C-101B-9397-08002B2CF9AE}" pid="4" name="LastSaved">
    <vt:filetime>2018-05-01T00:00:00Z</vt:filetime>
  </property>
</Properties>
</file>