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Types>
</file>

<file path=_rels/.rels>&#65279;<?xml version="1.0" encoding="UTF-8" standalone="yes"?><Relationships xmlns="http://schemas.openxmlformats.org/package/2006/relationships"><Relationship Type="http://schemas.openxmlformats.org/officeDocument/2006/relationships/officeDocument" Target="word/document.xml" Id="rId1" /><Relationship Type="http://schemas.openxmlformats.org/officeDocument/2006/relationships/extended-properties" Target="docProps/app.xml" Id="rId2" /><Relationship Type="http://schemas.openxmlformats.org/package/2006/relationships/metadata/core-properties" Target="docProps/core.xml" Id="rId3"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z w:val="24"/>
          <w:rFonts w:ascii="Arial" w:hAnsi="Arial" w:eastAsia="Arial" w:cs="Arial"/>
          <w:b/>
        </w:rPr>
        <w:jc w:val="center"/>
        <w:spacing/>
      </w:pPr>
      <w:bookmarkStart w:name="_GoBack" w:id="2"/>
      <w:bookmarkEnd w:id="2"/>
      <w:r>
        <w:rPr>
          <w:sz w:val="24"/>
          <w:rFonts w:ascii="Arial" w:hAnsi="Arial" w:eastAsia="Arial" w:cs="Arial"/>
          <w:b/>
        </w:rPr>
        <w:t xml:space="preserve">EC</w:t>
      </w:r>
      <w:r>
        <w:rPr>
          <w:sz w:val="24"/>
          <w:rFonts w:ascii="Arial" w:hAnsi="Arial" w:eastAsia="Arial" w:cs="Arial"/>
          <w:b/>
        </w:rPr>
        <w:t xml:space="preserve">321 Money and Banking</w:t>
      </w:r>
    </w:p>
    <w:p>
      <w:pPr>
        <w:rPr>
          <w:sz w:val="24"/>
          <w:rFonts w:ascii="Arial" w:hAnsi="Arial" w:eastAsia="Arial" w:cs="Arial"/>
        </w:rPr>
        <w:jc w:val="center"/>
        <w:spacing/>
      </w:pPr>
      <w:r>
        <w:rPr>
          <w:sz w:val="24"/>
          <w:rFonts w:ascii="Arial" w:hAnsi="Arial" w:eastAsia="Arial" w:cs="Arial"/>
        </w:rPr>
        <w:t xml:space="preserve">Course outline</w:t>
      </w:r>
    </w:p>
    <w:p>
      <w:pPr>
        <w:rPr>
          <w:sz w:val="24"/>
          <w:rFonts w:ascii="Arial" w:hAnsi="Arial" w:eastAsia="Arial" w:cs="Arial"/>
        </w:rPr>
        <w:spacing/>
      </w:pPr>
    </w:p>
    <w:p>
      <w:pPr>
        <w:rPr>
          <w:sz w:val="24"/>
          <w:rFonts w:ascii="Arial" w:hAnsi="Arial" w:eastAsia="Arial" w:cs="Arial"/>
          <w:b/>
        </w:rPr>
        <w:spacing/>
      </w:pPr>
      <w:r>
        <w:rPr>
          <w:sz w:val="24"/>
          <w:rFonts w:ascii="Arial" w:hAnsi="Arial" w:eastAsia="Arial" w:cs="Arial"/>
          <w:b/>
        </w:rPr>
        <w:t xml:space="preserve">Lecturers</w:t>
      </w:r>
    </w:p>
    <w:p>
      <w:pPr>
        <w:tabs>
          <w:tab w:pos="3544" w:val="left"/>
        </w:tabs>
        <w:rPr>
          <w:sz w:val="24"/>
          <w:rFonts w:ascii="Arial" w:hAnsi="Arial" w:eastAsia="Arial" w:cs="Arial"/>
        </w:rPr>
        <w:spacing/>
      </w:pPr>
      <w:r>
        <w:rPr>
          <w:sz w:val="24"/>
          <w:rFonts w:ascii="Arial" w:hAnsi="Arial" w:eastAsia="Arial" w:cs="Arial"/>
        </w:rPr>
        <w:t xml:space="preserve">Dr</w:t>
      </w:r>
      <w:r>
        <w:rPr>
          <w:sz w:val="24"/>
          <w:rFonts w:ascii="Arial" w:hAnsi="Arial" w:eastAsia="Arial" w:cs="Arial"/>
        </w:rPr>
        <w:t xml:space="preserve"> Gianluca Benigno</w:t>
      </w:r>
      <w:r>
        <w:rPr>
          <w:sz w:val="24"/>
          <w:rFonts w:ascii="Arial" w:hAnsi="Arial" w:eastAsia="Arial" w:cs="Arial"/>
        </w:rPr>
        <w:tab/>
        <w:t xml:space="preserve"/>
      </w:r>
    </w:p>
    <w:p>
      <w:pPr>
        <w:rPr>
          <w:sz w:val="24"/>
          <w:rFonts w:ascii="Arial" w:hAnsi="Arial" w:eastAsia="Arial" w:cs="Arial"/>
        </w:rPr>
        <w:spacing/>
      </w:pPr>
      <w:r>
        <w:rPr>
          <w:sz w:val="24"/>
          <w:rFonts w:ascii="Arial" w:hAnsi="Arial" w:eastAsia="Arial" w:cs="Arial"/>
        </w:rPr>
        <w:t xml:space="preserve">Dr Kevin </w:t>
      </w:r>
      <w:r>
        <w:rPr>
          <w:sz w:val="24"/>
          <w:rFonts w:ascii="Arial" w:hAnsi="Arial" w:eastAsia="Arial" w:cs="Arial"/>
        </w:rPr>
        <w:t xml:space="preserve">Sheedy</w:t>
      </w:r>
    </w:p>
    <w:p>
      <w:pPr>
        <w:rPr>
          <w:sz w:val="24"/>
          <w:rFonts w:ascii="Arial" w:hAnsi="Arial" w:eastAsia="Arial" w:cs="Arial"/>
        </w:rPr>
        <w:spacing/>
      </w:pPr>
    </w:p>
    <w:p>
      <w:pPr>
        <w:pStyle w:val="Heading1"/>
        <w:rPr/>
        <w:spacing/>
      </w:pPr>
      <w:r>
        <w:rPr/>
        <w:t xml:space="preserve">Objectives</w:t>
      </w:r>
    </w:p>
    <w:p>
      <w:pPr>
        <w:rPr>
          <w:sz w:val="24"/>
          <w:rFonts w:ascii="Arial" w:hAnsi="Arial" w:eastAsia="Arial" w:cs="Arial"/>
        </w:rPr>
        <w:spacing/>
      </w:pPr>
      <w:r>
        <w:rPr>
          <w:sz w:val="24"/>
          <w:rFonts w:ascii="Arial" w:hAnsi="Arial" w:eastAsia="Arial" w:cs="Arial"/>
        </w:rPr>
        <w:t xml:space="preserve">How does the recent financial turmoil affect the economy? What are the causes of inflation and deflation? Why do some countries experience sharp swings in exchange rates? What should central banks do in such circumstances? In order to answer these and related questions, this course provides a set of tools to analyse the interaction between monetary policy, the real economy and the financial sector. The course will combine a study of the relevant theory with applications to recent events and policy debates.</w:t>
      </w:r>
    </w:p>
    <w:p>
      <w:pPr>
        <w:rPr>
          <w:sz w:val="24"/>
          <w:rFonts w:ascii="Arial" w:hAnsi="Arial" w:eastAsia="Arial" w:cs="Arial"/>
        </w:rPr>
        <w:spacing/>
      </w:pPr>
    </w:p>
    <w:p>
      <w:pPr>
        <w:rPr>
          <w:sz w:val="24"/>
          <w:rFonts w:ascii="Arial" w:hAnsi="Arial" w:eastAsia="Arial" w:cs="Arial"/>
        </w:rPr>
        <w:spacing/>
      </w:pPr>
      <w:r>
        <w:rPr>
          <w:sz w:val="24"/>
          <w:rFonts w:ascii="Arial" w:hAnsi="Arial" w:eastAsia="Arial" w:cs="Arial"/>
        </w:rPr>
        <w:t xml:space="preserve">Topics to be covered include:</w:t>
      </w:r>
    </w:p>
    <w:p>
      <w:pPr>
        <w:numPr>
          <w:ilvl w:val="0"/>
          <w:numId w:val="5"/>
        </w:numPr>
        <w:rPr>
          <w:sz w:val="24"/>
          <w:rFonts w:ascii="Arial" w:hAnsi="Arial" w:eastAsia="Arial" w:cs="Arial"/>
        </w:rPr>
        <w:spacing/>
      </w:pPr>
      <w:r>
        <w:rPr>
          <w:sz w:val="24"/>
          <w:rFonts w:ascii="Arial" w:hAnsi="Arial" w:eastAsia="Arial" w:cs="Arial"/>
        </w:rPr>
        <w:t xml:space="preserve">The transmission mechanism of monetary policy</w:t>
      </w:r>
    </w:p>
    <w:p>
      <w:pPr>
        <w:numPr>
          <w:ilvl w:val="0"/>
          <w:numId w:val="5"/>
        </w:numPr>
        <w:rPr>
          <w:sz w:val="24"/>
          <w:rFonts w:ascii="Arial" w:hAnsi="Arial" w:eastAsia="Arial" w:cs="Arial"/>
        </w:rPr>
        <w:spacing/>
      </w:pPr>
      <w:r>
        <w:rPr>
          <w:sz w:val="24"/>
          <w:rFonts w:ascii="Arial" w:hAnsi="Arial" w:eastAsia="Arial" w:cs="Arial"/>
        </w:rPr>
        <w:t xml:space="preserve">Monetary policy strategies</w:t>
      </w:r>
    </w:p>
    <w:p>
      <w:pPr>
        <w:numPr>
          <w:ilvl w:val="0"/>
          <w:numId w:val="5"/>
        </w:numPr>
        <w:rPr>
          <w:sz w:val="24"/>
          <w:rFonts w:ascii="Arial" w:hAnsi="Arial" w:eastAsia="Arial" w:cs="Arial"/>
        </w:rPr>
        <w:spacing/>
      </w:pPr>
      <w:r>
        <w:rPr>
          <w:sz w:val="24"/>
          <w:rFonts w:ascii="Arial" w:hAnsi="Arial" w:eastAsia="Arial" w:cs="Arial"/>
        </w:rPr>
        <w:t xml:space="preserve">The liquidity trap and policy responses: quantitative easing, credit easing, and other unconventional policies</w:t>
      </w:r>
    </w:p>
    <w:p>
      <w:pPr>
        <w:numPr>
          <w:ilvl w:val="0"/>
          <w:numId w:val="5"/>
        </w:numPr>
        <w:rPr>
          <w:sz w:val="24"/>
          <w:rFonts w:ascii="Arial" w:hAnsi="Arial" w:eastAsia="Arial" w:cs="Arial"/>
        </w:rPr>
        <w:spacing/>
      </w:pPr>
      <w:r>
        <w:rPr>
          <w:sz w:val="24"/>
          <w:rFonts w:ascii="Arial" w:hAnsi="Arial" w:eastAsia="Arial" w:cs="Arial"/>
        </w:rPr>
        <w:t xml:space="preserve">Financial markets</w:t>
      </w:r>
    </w:p>
    <w:p>
      <w:pPr>
        <w:numPr>
          <w:ilvl w:val="0"/>
          <w:numId w:val="5"/>
        </w:numPr>
        <w:rPr>
          <w:sz w:val="24"/>
          <w:rFonts w:ascii="Arial" w:hAnsi="Arial" w:eastAsia="Arial" w:cs="Arial"/>
        </w:rPr>
        <w:spacing/>
      </w:pPr>
      <w:r>
        <w:rPr>
          <w:sz w:val="24"/>
          <w:rFonts w:ascii="Arial" w:hAnsi="Arial" w:eastAsia="Arial" w:cs="Arial"/>
        </w:rPr>
        <w:t xml:space="preserve">Fiscal and monetary policy linkages: government debt and inflation risks</w:t>
      </w:r>
    </w:p>
    <w:p>
      <w:pPr>
        <w:numPr>
          <w:ilvl w:val="0"/>
          <w:numId w:val="5"/>
        </w:numPr>
        <w:rPr>
          <w:sz w:val="24"/>
          <w:rFonts w:ascii="Arial" w:hAnsi="Arial" w:eastAsia="Arial" w:cs="Arial"/>
        </w:rPr>
        <w:spacing/>
      </w:pPr>
      <w:r>
        <w:rPr>
          <w:sz w:val="24"/>
          <w:rFonts w:ascii="Arial" w:hAnsi="Arial" w:eastAsia="Arial" w:cs="Arial"/>
        </w:rPr>
        <w:t xml:space="preserve">Banking and financial intermediation</w:t>
      </w:r>
    </w:p>
    <w:p>
      <w:pPr>
        <w:numPr>
          <w:ilvl w:val="0"/>
          <w:numId w:val="5"/>
        </w:numPr>
        <w:rPr>
          <w:sz w:val="24"/>
          <w:rFonts w:ascii="Arial" w:hAnsi="Arial" w:eastAsia="Arial" w:cs="Arial"/>
        </w:rPr>
        <w:spacing/>
      </w:pPr>
      <w:r>
        <w:rPr>
          <w:sz w:val="24"/>
          <w:rFonts w:ascii="Arial" w:hAnsi="Arial" w:eastAsia="Arial" w:cs="Arial"/>
        </w:rPr>
        <w:t xml:space="preserve">Current account dynamics</w:t>
      </w:r>
    </w:p>
    <w:p>
      <w:pPr>
        <w:numPr>
          <w:ilvl w:val="0"/>
          <w:numId w:val="5"/>
        </w:numPr>
        <w:rPr>
          <w:sz w:val="24"/>
          <w:rFonts w:ascii="Arial" w:hAnsi="Arial" w:eastAsia="Arial" w:cs="Arial"/>
        </w:rPr>
        <w:spacing/>
      </w:pPr>
      <w:r>
        <w:rPr>
          <w:sz w:val="24"/>
          <w:rFonts w:ascii="Arial" w:hAnsi="Arial" w:eastAsia="Arial" w:cs="Arial"/>
        </w:rPr>
        <w:t xml:space="preserve">Exchange rates and currency crises</w:t>
      </w:r>
    </w:p>
    <w:p>
      <w:pPr>
        <w:numPr>
          <w:ilvl w:val="0"/>
          <w:numId w:val="5"/>
        </w:numPr>
        <w:rPr>
          <w:sz w:val="24"/>
          <w:rFonts w:ascii="Arial" w:hAnsi="Arial" w:eastAsia="Arial" w:cs="Arial"/>
        </w:rPr>
        <w:spacing/>
      </w:pPr>
      <w:r>
        <w:rPr>
          <w:sz w:val="24"/>
          <w:rFonts w:ascii="Arial" w:hAnsi="Arial" w:eastAsia="Arial" w:cs="Arial"/>
        </w:rPr>
        <w:t xml:space="preserve">Deleveraging crises</w:t>
      </w:r>
    </w:p>
    <w:p>
      <w:pPr>
        <w:numPr>
          <w:ilvl w:val="0"/>
          <w:numId w:val="5"/>
        </w:numPr>
        <w:rPr>
          <w:sz w:val="24"/>
          <w:rFonts w:ascii="Arial" w:hAnsi="Arial" w:eastAsia="Arial" w:cs="Arial"/>
        </w:rPr>
        <w:spacing/>
      </w:pPr>
      <w:r>
        <w:rPr>
          <w:sz w:val="24"/>
          <w:rFonts w:ascii="Arial" w:hAnsi="Arial" w:eastAsia="Arial" w:cs="Arial"/>
        </w:rPr>
        <w:t xml:space="preserve">Policy responses to the financial crisis</w:t>
      </w:r>
    </w:p>
    <w:p>
      <w:pPr>
        <w:numPr>
          <w:ilvl w:val="0"/>
          <w:numId w:val="5"/>
        </w:numPr>
        <w:rPr>
          <w:sz w:val="24"/>
          <w:rFonts w:ascii="Arial" w:hAnsi="Arial" w:eastAsia="Arial" w:cs="Arial"/>
        </w:rPr>
        <w:spacing/>
      </w:pPr>
      <w:r>
        <w:rPr>
          <w:sz w:val="24"/>
          <w:rFonts w:ascii="Arial" w:hAnsi="Arial" w:eastAsia="Arial" w:cs="Arial"/>
        </w:rPr>
        <w:t xml:space="preserve">Sovereign debt crises</w:t>
      </w:r>
    </w:p>
    <w:p>
      <w:pPr>
        <w:rPr>
          <w:sz w:val="24"/>
          <w:rFonts w:ascii="Arial" w:hAnsi="Arial" w:eastAsia="Arial" w:cs="Arial"/>
        </w:rPr>
        <w:spacing/>
      </w:pPr>
    </w:p>
    <w:p>
      <w:pPr>
        <w:pStyle w:val="Heading1"/>
        <w:rPr/>
        <w:spacing/>
      </w:pPr>
      <w:r>
        <w:rPr/>
        <w:t xml:space="preserve">Structure</w:t>
      </w:r>
    </w:p>
    <w:p>
      <w:pPr>
        <w:rPr>
          <w:sz w:val="24"/>
          <w:rFonts w:ascii="Arial" w:hAnsi="Arial" w:eastAsia="Arial" w:cs="Arial"/>
        </w:rPr>
        <w:spacing/>
      </w:pPr>
      <w:r>
        <w:rPr>
          <w:sz w:val="24"/>
          <w:rFonts w:ascii="Arial" w:hAnsi="Arial" w:eastAsia="Arial" w:cs="Arial"/>
        </w:rPr>
        <w:t xml:space="preserve">The course </w:t>
      </w:r>
      <w:r>
        <w:rPr>
          <w:sz w:val="24"/>
          <w:rFonts w:ascii="Arial" w:hAnsi="Arial" w:eastAsia="Arial" w:cs="Arial"/>
        </w:rPr>
        <w:t xml:space="preserve">consists of</w:t>
      </w:r>
      <w:r>
        <w:rPr>
          <w:sz w:val="24"/>
          <w:rFonts w:ascii="Arial" w:hAnsi="Arial" w:eastAsia="Arial" w:cs="Arial"/>
        </w:rPr>
        <w:t xml:space="preserve"> 12 lectures (3 hours each)</w:t>
      </w:r>
      <w:r>
        <w:rPr>
          <w:sz w:val="24"/>
          <w:rFonts w:ascii="Arial" w:hAnsi="Arial" w:eastAsia="Arial" w:cs="Arial"/>
        </w:rPr>
        <w:t xml:space="preserve"> and 12 classes </w:t>
      </w:r>
      <w:r>
        <w:rPr>
          <w:sz w:val="24"/>
          <w:rFonts w:ascii="Arial" w:hAnsi="Arial" w:eastAsia="Arial" w:cs="Arial"/>
          <w:lang w:val="en-US"/>
        </w:rPr>
        <w:t xml:space="preserve">(1 hour each)</w:t>
      </w:r>
      <w:r>
        <w:rPr>
          <w:sz w:val="24"/>
          <w:rFonts w:ascii="Arial" w:hAnsi="Arial" w:eastAsia="Arial" w:cs="Arial"/>
        </w:rPr>
        <w:t xml:space="preserve">.</w:t>
      </w:r>
    </w:p>
    <w:p>
      <w:pPr>
        <w:rPr>
          <w:sz w:val="24"/>
          <w:rFonts w:ascii="Arial" w:hAnsi="Arial" w:eastAsia="Arial" w:cs="Arial"/>
          <w:lang w:val="en-US"/>
        </w:rPr>
        <w:spacing/>
      </w:pPr>
    </w:p>
    <w:p>
      <w:pPr>
        <w:pStyle w:val="Heading1"/>
        <w:rPr>
          <w:lang w:val="en-US"/>
        </w:rPr>
        <w:spacing/>
      </w:pPr>
      <w:r>
        <w:rPr>
          <w:lang w:val="en-US"/>
        </w:rPr>
        <w:t xml:space="preserve">Assessment</w:t>
      </w:r>
    </w:p>
    <w:p>
      <w:pPr>
        <w:rPr>
          <w:sz w:val="24"/>
          <w:rFonts w:ascii="Arial" w:hAnsi="Arial" w:eastAsia="Arial" w:cs="Arial"/>
        </w:rPr>
        <w:spacing/>
      </w:pPr>
      <w:r>
        <w:rPr>
          <w:sz w:val="24"/>
          <w:rFonts w:ascii="Arial" w:hAnsi="Arial" w:eastAsia="Arial" w:cs="Arial"/>
        </w:rPr>
        <w:t xml:space="preserve">This course is assessed by two written examinations, a mid session examination and a final examination. Each will account for 50% of the mark. </w:t>
      </w:r>
    </w:p>
    <w:p>
      <w:pPr>
        <w:rPr>
          <w:sz w:val="24"/>
          <w:rFonts w:ascii="Arial" w:hAnsi="Arial" w:eastAsia="Arial" w:cs="Arial"/>
        </w:rPr>
        <w:spacing/>
      </w:pPr>
    </w:p>
    <w:p>
      <w:pPr>
        <w:pStyle w:val="Heading1"/>
        <w:rPr>
          <w:lang w:val="en-US"/>
        </w:rPr>
        <w:spacing/>
      </w:pPr>
      <w:r>
        <w:rPr>
          <w:lang w:val="en-US"/>
        </w:rPr>
        <w:t xml:space="preserve">Text</w:t>
      </w:r>
      <w:r>
        <w:rPr>
          <w:lang w:val="en-US"/>
        </w:rPr>
        <w:t xml:space="preserve">s</w:t>
      </w:r>
    </w:p>
    <w:p>
      <w:pPr>
        <w:rPr>
          <w:sz w:val="24"/>
          <w:rFonts w:ascii="Arial" w:hAnsi="Arial" w:eastAsia="Arial" w:cs="Arial"/>
        </w:rPr>
        <w:spacing/>
      </w:pPr>
      <w:r>
        <w:rPr>
          <w:sz w:val="24"/>
          <w:rFonts w:ascii="Arial" w:hAnsi="Arial" w:eastAsia="Arial" w:cs="Arial"/>
        </w:rPr>
        <w:t xml:space="preserve">The course is based on lecture notes, but the following texts are useful references:</w:t>
      </w:r>
    </w:p>
    <w:p>
      <w:pPr>
        <w:rPr>
          <w:sz w:val="24"/>
          <w:rFonts w:ascii="Arial" w:hAnsi="Arial" w:eastAsia="Arial" w:cs="Arial"/>
        </w:rPr>
        <w:spacing/>
      </w:pPr>
    </w:p>
    <w:p>
      <w:pPr>
        <w:numPr>
          <w:ilvl w:val="0"/>
          <w:numId w:val="13"/>
        </w:numPr>
        <w:rPr>
          <w:sz w:val="24"/>
          <w:rFonts w:ascii="Arial" w:hAnsi="Arial" w:eastAsia="Arial" w:cs="Arial"/>
        </w:rPr>
        <w:spacing/>
      </w:pPr>
      <w:r>
        <w:rPr>
          <w:sz w:val="24"/>
          <w:rFonts w:ascii="Arial" w:hAnsi="Arial" w:eastAsia="Arial" w:cs="Arial"/>
        </w:rPr>
        <w:t xml:space="preserve">Walsh (2003), </w:t>
      </w:r>
      <w:r>
        <w:rPr>
          <w:sz w:val="24"/>
          <w:rFonts w:ascii="Arial" w:hAnsi="Arial" w:eastAsia="Arial" w:cs="Arial"/>
          <w:i/>
        </w:rPr>
        <w:t xml:space="preserve">Monetary Theory and Policy</w:t>
      </w:r>
      <w:r>
        <w:rPr>
          <w:sz w:val="24"/>
          <w:rFonts w:ascii="Arial" w:hAnsi="Arial" w:eastAsia="Arial" w:cs="Arial"/>
        </w:rPr>
        <w:t xml:space="preserve">, MIT Press</w:t>
      </w:r>
      <w:r>
        <w:rPr>
          <w:sz w:val="24"/>
          <w:rFonts w:ascii="Arial" w:hAnsi="Arial" w:eastAsia="Arial" w:cs="Arial"/>
        </w:rPr>
        <w:t xml:space="preserve"> 3</w:t>
      </w:r>
      <w:r>
        <w:rPr>
          <w:sz w:val="24"/>
          <w:rFonts w:ascii="Arial" w:hAnsi="Arial" w:eastAsia="Arial" w:cs="Arial"/>
          <w:vertAlign w:val="superscript"/>
        </w:rPr>
        <w:t xml:space="preserve">rd</w:t>
      </w:r>
      <w:r>
        <w:rPr>
          <w:sz w:val="24"/>
          <w:rFonts w:ascii="Arial" w:hAnsi="Arial" w:eastAsia="Arial" w:cs="Arial"/>
        </w:rPr>
        <w:t xml:space="preserve"> edition</w:t>
      </w:r>
    </w:p>
    <w:p>
      <w:pPr>
        <w:numPr>
          <w:ilvl w:val="0"/>
          <w:numId w:val="13"/>
        </w:numPr>
        <w:rPr>
          <w:sz w:val="24"/>
          <w:rFonts w:ascii="Arial" w:hAnsi="Arial" w:eastAsia="Arial" w:cs="Arial"/>
        </w:rPr>
        <w:spacing/>
      </w:pPr>
      <w:r>
        <w:rPr>
          <w:sz w:val="24"/>
          <w:rFonts w:ascii="Arial" w:hAnsi="Arial" w:eastAsia="Arial" w:cs="Arial"/>
        </w:rPr>
        <w:t xml:space="preserve">Obstfeld</w:t>
      </w:r>
      <w:r>
        <w:rPr>
          <w:sz w:val="24"/>
          <w:rFonts w:ascii="Arial" w:hAnsi="Arial" w:eastAsia="Arial" w:cs="Arial"/>
        </w:rPr>
        <w:t xml:space="preserve"> &amp;</w:t>
      </w:r>
      <w:r>
        <w:rPr>
          <w:sz w:val="24"/>
          <w:rFonts w:ascii="Arial" w:hAnsi="Arial" w:eastAsia="Arial" w:cs="Arial"/>
        </w:rPr>
        <w:t xml:space="preserve"> </w:t>
      </w:r>
      <w:r>
        <w:rPr>
          <w:sz w:val="24"/>
          <w:rFonts w:ascii="Arial" w:hAnsi="Arial" w:eastAsia="Arial" w:cs="Arial"/>
        </w:rPr>
        <w:t xml:space="preserve">Rogoff</w:t>
      </w:r>
      <w:r>
        <w:rPr>
          <w:sz w:val="24"/>
          <w:rFonts w:ascii="Arial" w:hAnsi="Arial" w:eastAsia="Arial" w:cs="Arial"/>
        </w:rPr>
        <w:t xml:space="preserve"> </w:t>
      </w:r>
      <w:r>
        <w:rPr>
          <w:sz w:val="24"/>
          <w:rFonts w:ascii="Arial" w:hAnsi="Arial" w:eastAsia="Arial" w:cs="Arial"/>
        </w:rPr>
        <w:t xml:space="preserve">(1996), </w:t>
      </w:r>
      <w:r>
        <w:rPr>
          <w:sz w:val="24"/>
          <w:rFonts w:ascii="Arial" w:hAnsi="Arial" w:eastAsia="Arial" w:cs="Arial"/>
          <w:i/>
        </w:rPr>
        <w:t xml:space="preserve">Foundations of International Macroeconomics</w:t>
      </w:r>
      <w:r>
        <w:rPr>
          <w:sz w:val="24"/>
          <w:rFonts w:ascii="Arial" w:hAnsi="Arial" w:eastAsia="Arial" w:cs="Arial"/>
        </w:rPr>
        <w:t xml:space="preserve">, MIT Press</w:t>
      </w:r>
    </w:p>
    <w:p>
      <w:pPr>
        <w:rPr>
          <w:sz w:val="24"/>
          <w:rFonts w:ascii="Arial" w:hAnsi="Arial" w:eastAsia="Arial" w:cs="Arial"/>
        </w:rPr>
        <w:spacing/>
      </w:pPr>
    </w:p>
    <w:p>
      <w:pPr>
        <w:rPr>
          <w:sz w:val="24"/>
          <w:rFonts w:ascii="Arial" w:hAnsi="Arial" w:eastAsia="Arial" w:cs="Arial"/>
          <w:b/>
        </w:rPr>
        <w:spacing/>
      </w:pPr>
      <w:r>
        <w:rPr>
          <w:sz w:val="24"/>
          <w:rFonts w:ascii="Arial" w:hAnsi="Arial" w:eastAsia="Arial" w:cs="Arial"/>
          <w:b/>
        </w:rPr>
        <w:t xml:space="preserve">Prerequisites</w:t>
      </w:r>
    </w:p>
    <w:p>
      <w:pPr>
        <w:rPr>
          <w:sz w:val="24"/>
          <w:rFonts w:ascii="Arial" w:hAnsi="Arial" w:eastAsia="Arial" w:cs="Arial"/>
        </w:rPr>
        <w:spacing/>
      </w:pPr>
      <w:r>
        <w:rPr>
          <w:sz w:val="24"/>
          <w:rFonts w:ascii="Arial" w:hAnsi="Arial" w:eastAsia="Arial" w:cs="Arial"/>
        </w:rPr>
        <w:t xml:space="preserve">Intermediate Macroeconomics</w:t>
      </w:r>
    </w:p>
    <w:p>
      <w:pPr>
        <w:rPr>
          <w:sz w:val="24"/>
          <w:rFonts w:ascii="Arial" w:hAnsi="Arial" w:eastAsia="Arial" w:cs="Arial"/>
          <w:lang w:val="en-US"/>
        </w:rPr>
        <w:spacing/>
      </w:pPr>
    </w:p>
    <w:p>
      <w:pPr>
        <w:rPr>
          <w:sz w:val="24"/>
          <w:rFonts w:ascii="Arial" w:hAnsi="Arial" w:eastAsia="Arial" w:cs="Arial"/>
          <w:lang w:val="en-US"/>
        </w:rPr>
        <w:spacing/>
      </w:pPr>
    </w:p>
    <w:p>
      <w:pPr>
        <w:pStyle w:val="Heading1"/>
        <w:rPr/>
        <w:jc w:val="center"/>
        <w:spacing/>
      </w:pPr>
      <w:r>
        <w:rPr/>
        <w:t xml:space="preserve">Syllabus</w:t>
      </w:r>
    </w:p>
    <w:p>
      <w:pPr>
        <w:rPr>
          <w:sz w:val="24"/>
          <w:rFonts w:ascii="Arial" w:hAnsi="Arial" w:eastAsia="Arial" w:cs="Arial"/>
          <w:b/>
          <w:bCs/>
          <w:lang w:val="en-US"/>
        </w:rPr>
        <w:spacing/>
      </w:pPr>
    </w:p>
    <w:p>
      <w:pPr>
        <w:rPr>
          <w:sz w:val="24"/>
          <w:rFonts w:ascii="Arial" w:hAnsi="Arial" w:eastAsia="Arial" w:cs="Arial"/>
          <w:b/>
          <w:bCs/>
          <w:lang w:val="en-US"/>
        </w:rPr>
        <w:spacing/>
      </w:pPr>
      <w:r>
        <w:rPr>
          <w:sz w:val="24"/>
          <w:rFonts w:ascii="Arial" w:hAnsi="Arial" w:eastAsia="Arial" w:cs="Arial"/>
          <w:b/>
          <w:bCs/>
          <w:lang w:val="en-US"/>
        </w:rPr>
        <w:t xml:space="preserve">Monetary policy</w:t>
      </w:r>
    </w:p>
    <w:p>
      <w:pPr>
        <w:rPr>
          <w:sz w:val="24"/>
          <w:rFonts w:ascii="Arial" w:hAnsi="Arial" w:eastAsia="Arial" w:cs="Arial"/>
          <w:bCs/>
          <w:lang w:val="en-US"/>
        </w:rPr>
        <w:spacing/>
      </w:pPr>
      <w:r>
        <w:rPr>
          <w:sz w:val="24"/>
          <w:rFonts w:ascii="Arial" w:hAnsi="Arial" w:eastAsia="Arial" w:cs="Arial"/>
          <w:bCs/>
          <w:lang w:val="en-US"/>
        </w:rPr>
        <w:t xml:space="preserve">Evidence on the transmission mechanism of monetary policy.</w:t>
      </w:r>
      <w:r>
        <w:rPr>
          <w:sz w:val="24"/>
          <w:rFonts w:ascii="Arial" w:hAnsi="Arial" w:eastAsia="Arial" w:cs="Arial"/>
          <w:bCs/>
          <w:lang w:val="en-US"/>
        </w:rPr>
        <w:t xml:space="preserve"> </w:t>
      </w:r>
      <w:r>
        <w:rPr>
          <w:sz w:val="24"/>
          <w:rFonts w:ascii="Arial" w:hAnsi="Arial" w:eastAsia="Arial" w:cs="Arial"/>
          <w:bCs/>
          <w:lang w:val="en-US"/>
        </w:rPr>
        <w:t xml:space="preserve">Monetary policy operating procedures and strategies.</w:t>
      </w:r>
    </w:p>
    <w:p>
      <w:pPr>
        <w:rPr>
          <w:sz w:val="24"/>
          <w:rFonts w:ascii="Arial" w:hAnsi="Arial" w:eastAsia="Arial" w:cs="Arial"/>
          <w:bCs/>
          <w:lang w:val="en-US"/>
        </w:rPr>
        <w:spacing/>
      </w:pP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Walsh, chapter</w:t>
      </w:r>
      <w:r>
        <w:rPr>
          <w:sz w:val="24"/>
          <w:rFonts w:ascii="Arial" w:hAnsi="Arial" w:eastAsia="Arial" w:cs="Arial"/>
          <w:bCs/>
          <w:lang w:val="en-US"/>
        </w:rPr>
        <w:t xml:space="preserve">s</w:t>
      </w:r>
      <w:r>
        <w:rPr>
          <w:sz w:val="24"/>
          <w:rFonts w:ascii="Arial" w:hAnsi="Arial" w:eastAsia="Arial" w:cs="Arial"/>
          <w:bCs/>
          <w:lang w:val="en-US"/>
        </w:rPr>
        <w:t xml:space="preserve"> 1</w:t>
      </w:r>
      <w:r>
        <w:rPr>
          <w:sz w:val="24"/>
          <w:rFonts w:ascii="Arial" w:hAnsi="Arial" w:eastAsia="Arial" w:cs="Arial"/>
          <w:bCs/>
          <w:lang w:val="en-US"/>
        </w:rPr>
        <w:t xml:space="preserve">, 8, 9 &amp; 11.</w:t>
      </w: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Bernanke &amp; </w:t>
      </w:r>
      <w:r>
        <w:rPr>
          <w:sz w:val="24"/>
          <w:rFonts w:ascii="Arial" w:hAnsi="Arial" w:eastAsia="Arial" w:cs="Arial"/>
          <w:bCs/>
          <w:lang w:val="en-US"/>
        </w:rPr>
        <w:t xml:space="preserve">Mishkin</w:t>
      </w:r>
      <w:r>
        <w:rPr>
          <w:sz w:val="24"/>
          <w:rFonts w:ascii="Arial" w:hAnsi="Arial" w:eastAsia="Arial" w:cs="Arial"/>
          <w:bCs/>
          <w:lang w:val="en-US"/>
        </w:rPr>
        <w:t xml:space="preserve"> (1997), “Inflation targeting: A new framework for monetary policy?”, Journal of Economic Perspectives, 11(2): 97—116</w:t>
      </w: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Christiano</w:t>
      </w:r>
      <w:r>
        <w:rPr>
          <w:sz w:val="24"/>
          <w:rFonts w:ascii="Arial" w:hAnsi="Arial" w:eastAsia="Arial" w:cs="Arial"/>
          <w:bCs/>
          <w:lang w:val="en-US"/>
        </w:rPr>
        <w:t xml:space="preserve">, </w:t>
      </w:r>
      <w:r>
        <w:rPr>
          <w:sz w:val="24"/>
          <w:rFonts w:ascii="Arial" w:hAnsi="Arial" w:eastAsia="Arial" w:cs="Arial"/>
          <w:bCs/>
          <w:lang w:val="en-US"/>
        </w:rPr>
        <w:t xml:space="preserve">Eichenbaum</w:t>
      </w:r>
      <w:r>
        <w:rPr>
          <w:sz w:val="24"/>
          <w:rFonts w:ascii="Arial" w:hAnsi="Arial" w:eastAsia="Arial" w:cs="Arial"/>
          <w:bCs/>
          <w:lang w:val="en-US"/>
        </w:rPr>
        <w:t xml:space="preserve"> &amp; Evans (1999), “Monetary policy shocks: What have we learned and to what end?”, Handbook of Macroeconomics, vol. 1, pp. 65—148</w:t>
      </w: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Clarida</w:t>
      </w:r>
      <w:r>
        <w:rPr>
          <w:sz w:val="24"/>
          <w:rFonts w:ascii="Arial" w:hAnsi="Arial" w:eastAsia="Arial" w:cs="Arial"/>
          <w:bCs/>
          <w:lang w:val="en-US"/>
        </w:rPr>
        <w:t xml:space="preserve">, </w:t>
      </w:r>
      <w:r>
        <w:rPr>
          <w:sz w:val="24"/>
          <w:rFonts w:ascii="Arial" w:hAnsi="Arial" w:eastAsia="Arial" w:cs="Arial"/>
          <w:bCs/>
          <w:lang w:val="en-US"/>
        </w:rPr>
        <w:t xml:space="preserve">Gali</w:t>
      </w:r>
      <w:r>
        <w:rPr>
          <w:sz w:val="24"/>
          <w:rFonts w:ascii="Arial" w:hAnsi="Arial" w:eastAsia="Arial" w:cs="Arial"/>
          <w:bCs/>
          <w:lang w:val="en-US"/>
        </w:rPr>
        <w:t xml:space="preserve"> &amp; </w:t>
      </w:r>
      <w:r>
        <w:rPr>
          <w:sz w:val="24"/>
          <w:rFonts w:ascii="Arial" w:hAnsi="Arial" w:eastAsia="Arial" w:cs="Arial"/>
          <w:bCs/>
          <w:lang w:val="en-US"/>
        </w:rPr>
        <w:t xml:space="preserve">Gertler</w:t>
      </w:r>
      <w:r>
        <w:rPr>
          <w:sz w:val="24"/>
          <w:rFonts w:ascii="Arial" w:hAnsi="Arial" w:eastAsia="Arial" w:cs="Arial"/>
          <w:bCs/>
          <w:lang w:val="en-US"/>
        </w:rPr>
        <w:t xml:space="preserve"> (1999), “The science of monetary policy: A New Keynesian perspective”, Journal of Economic Literature, 37(4): 1661—1707</w:t>
      </w:r>
    </w:p>
    <w:p>
      <w:pPr>
        <w:rPr>
          <w:sz w:val="24"/>
          <w:rFonts w:ascii="Arial" w:hAnsi="Arial" w:eastAsia="Arial" w:cs="Arial"/>
          <w:bCs/>
          <w:lang w:val="en-US"/>
        </w:rPr>
        <w:spacing/>
      </w:pPr>
    </w:p>
    <w:p>
      <w:pPr>
        <w:rPr>
          <w:sz w:val="24"/>
          <w:rFonts w:ascii="Arial" w:hAnsi="Arial" w:eastAsia="Arial" w:cs="Arial"/>
          <w:b/>
          <w:bCs/>
          <w:lang w:val="en-US"/>
        </w:rPr>
        <w:spacing/>
      </w:pPr>
      <w:r>
        <w:rPr>
          <w:sz w:val="24"/>
          <w:rFonts w:ascii="Arial" w:hAnsi="Arial" w:eastAsia="Arial" w:cs="Arial"/>
          <w:b/>
          <w:bCs/>
          <w:lang w:val="en-US"/>
        </w:rPr>
        <w:t xml:space="preserve">Liquidity trap</w:t>
      </w:r>
    </w:p>
    <w:p>
      <w:pPr>
        <w:rPr>
          <w:sz w:val="24"/>
          <w:rFonts w:ascii="Arial" w:hAnsi="Arial" w:eastAsia="Arial" w:cs="Arial"/>
          <w:bCs/>
          <w:lang w:val="en-US"/>
        </w:rPr>
        <w:spacing/>
      </w:pPr>
      <w:r>
        <w:rPr>
          <w:sz w:val="24"/>
          <w:rFonts w:ascii="Arial" w:hAnsi="Arial" w:eastAsia="Arial" w:cs="Arial"/>
          <w:bCs/>
          <w:lang w:val="en-US"/>
        </w:rPr>
        <w:t xml:space="preserve">The zero lower bound on interest rates.</w:t>
      </w:r>
      <w:r>
        <w:rPr>
          <w:sz w:val="24"/>
          <w:rFonts w:ascii="Arial" w:hAnsi="Arial" w:eastAsia="Arial" w:cs="Arial"/>
          <w:bCs/>
          <w:lang w:val="en-US"/>
        </w:rPr>
        <w:t xml:space="preserve"> Quantitative easing, credit </w:t>
      </w:r>
      <w:r>
        <w:rPr>
          <w:sz w:val="24"/>
          <w:rFonts w:ascii="Arial" w:hAnsi="Arial" w:eastAsia="Arial" w:cs="Arial"/>
          <w:bCs/>
          <w:lang w:val="en-US"/>
        </w:rPr>
        <w:t xml:space="preserve">easing,</w:t>
      </w:r>
      <w:r>
        <w:rPr>
          <w:sz w:val="24"/>
          <w:rFonts w:ascii="Arial" w:hAnsi="Arial" w:eastAsia="Arial" w:cs="Arial"/>
          <w:bCs/>
          <w:lang w:val="en-US"/>
        </w:rPr>
        <w:t xml:space="preserve"> and other unconventional monetary policies.</w:t>
      </w:r>
    </w:p>
    <w:p>
      <w:pPr>
        <w:rPr>
          <w:sz w:val="24"/>
          <w:rFonts w:ascii="Arial" w:hAnsi="Arial" w:eastAsia="Arial" w:cs="Arial"/>
          <w:bCs/>
          <w:lang w:val="en-US"/>
        </w:rPr>
        <w:spacing/>
      </w:pP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Walsh, chapter 10.</w:t>
      </w: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Krugman (1998), “It’s </w:t>
      </w:r>
      <w:r>
        <w:rPr>
          <w:sz w:val="24"/>
          <w:rFonts w:ascii="Arial" w:hAnsi="Arial" w:eastAsia="Arial" w:cs="Arial"/>
          <w:bCs/>
          <w:lang w:val="en-US"/>
        </w:rPr>
        <w:t xml:space="preserve">baaack</w:t>
      </w:r>
      <w:r>
        <w:rPr>
          <w:sz w:val="24"/>
          <w:rFonts w:ascii="Arial" w:hAnsi="Arial" w:eastAsia="Arial" w:cs="Arial"/>
          <w:bCs/>
          <w:lang w:val="en-US"/>
        </w:rPr>
        <w:t xml:space="preserve">: </w:t>
      </w:r>
      <w:r>
        <w:rPr>
          <w:sz w:val="24"/>
          <w:rFonts w:ascii="Arial" w:hAnsi="Arial" w:eastAsia="Arial" w:cs="Arial"/>
          <w:bCs/>
          <w:lang w:val="en-US"/>
        </w:rPr>
        <w:t xml:space="preserve">Japan</w:t>
      </w:r>
      <w:r>
        <w:rPr>
          <w:sz w:val="24"/>
          <w:rFonts w:ascii="Arial" w:hAnsi="Arial" w:eastAsia="Arial" w:cs="Arial"/>
          <w:bCs/>
          <w:lang w:val="en-US"/>
        </w:rPr>
        <w:t xml:space="preserve">’s slump and the return of the liquidity trap”, Brookings Papers on Economic Activity, 1998(2): 137—205</w:t>
      </w: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Eggerts</w:t>
      </w:r>
      <w:r>
        <w:rPr>
          <w:sz w:val="24"/>
          <w:rFonts w:ascii="Arial" w:hAnsi="Arial" w:eastAsia="Arial" w:cs="Arial"/>
          <w:bCs/>
          <w:lang w:val="en-US"/>
        </w:rPr>
        <w:t xml:space="preserve">s</w:t>
      </w:r>
      <w:r>
        <w:rPr>
          <w:sz w:val="24"/>
          <w:rFonts w:ascii="Arial" w:hAnsi="Arial" w:eastAsia="Arial" w:cs="Arial"/>
          <w:bCs/>
          <w:lang w:val="en-US"/>
        </w:rPr>
        <w:t xml:space="preserve">on</w:t>
      </w:r>
      <w:r>
        <w:rPr>
          <w:sz w:val="24"/>
          <w:rFonts w:ascii="Arial" w:hAnsi="Arial" w:eastAsia="Arial" w:cs="Arial"/>
          <w:bCs/>
          <w:lang w:val="en-US"/>
        </w:rPr>
        <w:t xml:space="preserve"> &amp; Woodford (200</w:t>
      </w:r>
      <w:r>
        <w:rPr>
          <w:sz w:val="24"/>
          <w:rFonts w:ascii="Arial" w:hAnsi="Arial" w:eastAsia="Arial" w:cs="Arial"/>
          <w:bCs/>
          <w:lang w:val="en-US"/>
        </w:rPr>
        <w:t xml:space="preserve">3), “The zero bound on interest rates and optimal monetary policy”, Brookings Papers on Economic Activity, 2003(1): 139—211</w:t>
      </w:r>
    </w:p>
    <w:p>
      <w:pPr>
        <w:rPr>
          <w:sz w:val="24"/>
          <w:rFonts w:ascii="Arial" w:hAnsi="Arial" w:eastAsia="Arial" w:cs="Arial"/>
          <w:bCs/>
          <w:lang w:val="en-US"/>
        </w:rPr>
        <w:spacing/>
      </w:pPr>
    </w:p>
    <w:p>
      <w:pPr>
        <w:rPr>
          <w:sz w:val="24"/>
          <w:rFonts w:ascii="Arial" w:hAnsi="Arial" w:eastAsia="Arial" w:cs="Arial"/>
          <w:b/>
          <w:bCs/>
          <w:lang w:val="en-US"/>
        </w:rPr>
        <w:spacing/>
      </w:pPr>
      <w:r>
        <w:rPr>
          <w:sz w:val="24"/>
          <w:rFonts w:ascii="Arial" w:hAnsi="Arial" w:eastAsia="Arial" w:cs="Arial"/>
          <w:b/>
          <w:bCs/>
          <w:lang w:val="en-US"/>
        </w:rPr>
        <w:t xml:space="preserve">Fiscal and monetary policy linkages</w:t>
      </w:r>
    </w:p>
    <w:p>
      <w:pPr>
        <w:rPr>
          <w:sz w:val="24"/>
          <w:rFonts w:ascii="Arial" w:hAnsi="Arial" w:eastAsia="Arial" w:cs="Arial"/>
          <w:bCs/>
          <w:lang w:val="en-US"/>
        </w:rPr>
        <w:spacing/>
      </w:pPr>
      <w:r>
        <w:rPr>
          <w:sz w:val="24"/>
          <w:rFonts w:ascii="Arial" w:hAnsi="Arial" w:eastAsia="Arial" w:cs="Arial"/>
          <w:bCs/>
          <w:lang w:val="en-US"/>
        </w:rPr>
        <w:t xml:space="preserve">The government budget constraint. </w:t>
      </w:r>
      <w:r>
        <w:rPr>
          <w:sz w:val="24"/>
          <w:rFonts w:ascii="Arial" w:hAnsi="Arial" w:eastAsia="Arial" w:cs="Arial"/>
          <w:bCs/>
          <w:lang w:val="en-US"/>
        </w:rPr>
        <w:t xml:space="preserve">Fiscal dominance versus monetary dominance.</w:t>
      </w:r>
      <w:r>
        <w:rPr>
          <w:sz w:val="24"/>
          <w:rFonts w:ascii="Arial" w:hAnsi="Arial" w:eastAsia="Arial" w:cs="Arial"/>
          <w:bCs/>
          <w:lang w:val="en-US"/>
        </w:rPr>
        <w:t xml:space="preserve"> </w:t>
      </w:r>
      <w:r>
        <w:rPr>
          <w:sz w:val="24"/>
          <w:rFonts w:ascii="Arial" w:hAnsi="Arial" w:eastAsia="Arial" w:cs="Arial"/>
          <w:bCs/>
          <w:lang w:val="en-US"/>
        </w:rPr>
        <w:t xml:space="preserve">The fiscal theory of the price level.</w:t>
      </w:r>
    </w:p>
    <w:p>
      <w:pPr>
        <w:rPr>
          <w:sz w:val="24"/>
          <w:rFonts w:ascii="Arial" w:hAnsi="Arial" w:eastAsia="Arial" w:cs="Arial"/>
          <w:bCs/>
          <w:lang w:val="en-US"/>
        </w:rPr>
        <w:spacing/>
      </w:pPr>
    </w:p>
    <w:p>
      <w:pPr>
        <w:numPr>
          <w:ilvl w:val="0"/>
          <w:numId w:val="4"/>
        </w:numPr>
        <w:rPr>
          <w:sz w:val="24"/>
          <w:rFonts w:ascii="Arial" w:hAnsi="Arial" w:eastAsia="Arial" w:cs="Arial"/>
          <w:bCs/>
          <w:lang w:val="en-US"/>
        </w:rPr>
        <w:spacing/>
      </w:pPr>
      <w:r>
        <w:rPr>
          <w:sz w:val="24"/>
          <w:rFonts w:ascii="Arial" w:hAnsi="Arial" w:eastAsia="Arial" w:cs="Arial"/>
          <w:bCs/>
          <w:lang w:val="en-US"/>
        </w:rPr>
        <w:t xml:space="preserve">Walsh, chapter 4</w:t>
      </w:r>
    </w:p>
    <w:p>
      <w:pPr>
        <w:numPr>
          <w:ilvl w:val="0"/>
          <w:numId w:val="4"/>
        </w:numPr>
        <w:rPr>
          <w:sz w:val="24"/>
          <w:rFonts w:ascii="Arial" w:hAnsi="Arial" w:eastAsia="Arial" w:cs="Arial"/>
          <w:bCs/>
          <w:lang w:val="en-US"/>
        </w:rPr>
        <w:spacing/>
      </w:pPr>
      <w:r>
        <w:rPr>
          <w:sz w:val="24"/>
          <w:rFonts w:ascii="Arial" w:hAnsi="Arial" w:eastAsia="Arial" w:cs="Arial"/>
          <w:bCs/>
          <w:lang w:val="en-US"/>
        </w:rPr>
        <w:t xml:space="preserve">Christiano</w:t>
      </w:r>
      <w:r>
        <w:rPr>
          <w:sz w:val="24"/>
          <w:rFonts w:ascii="Arial" w:hAnsi="Arial" w:eastAsia="Arial" w:cs="Arial"/>
          <w:bCs/>
          <w:lang w:val="en-US"/>
        </w:rPr>
        <w:t xml:space="preserve"> &amp; Fitzgerald (2000), “Understanding the fiscal theory of the price level”, Federal Reserve Bank of San Francisco Economic Review, 36(2)</w:t>
      </w:r>
    </w:p>
    <w:p>
      <w:pPr>
        <w:numPr>
          <w:ilvl w:val="0"/>
          <w:numId w:val="4"/>
        </w:numPr>
        <w:rPr>
          <w:sz w:val="24"/>
          <w:rFonts w:ascii="Arial" w:hAnsi="Arial" w:eastAsia="Arial" w:cs="Arial"/>
          <w:bCs/>
          <w:lang w:val="en-US"/>
        </w:rPr>
        <w:spacing/>
      </w:pPr>
      <w:r>
        <w:rPr>
          <w:sz w:val="24"/>
          <w:rFonts w:ascii="Arial" w:hAnsi="Arial" w:eastAsia="Arial" w:cs="Arial"/>
          <w:bCs/>
          <w:lang w:val="en-US"/>
        </w:rPr>
        <w:t xml:space="preserve">Cochrane (1998), “A frictionless view of </w:t>
      </w:r>
      <w:r>
        <w:rPr>
          <w:sz w:val="24"/>
          <w:rFonts w:ascii="Arial" w:hAnsi="Arial" w:eastAsia="Arial" w:cs="Arial"/>
          <w:bCs/>
          <w:lang w:val="en-US"/>
        </w:rPr>
        <w:t xml:space="preserve">U.S.</w:t>
      </w:r>
      <w:r>
        <w:rPr>
          <w:sz w:val="24"/>
          <w:rFonts w:ascii="Arial" w:hAnsi="Arial" w:eastAsia="Arial" w:cs="Arial"/>
          <w:bCs/>
          <w:lang w:val="en-US"/>
        </w:rPr>
        <w:t xml:space="preserve"> inflation”, NBER Macroeconomics Annual</w:t>
      </w:r>
    </w:p>
    <w:p>
      <w:pPr>
        <w:rPr>
          <w:sz w:val="24"/>
          <w:rFonts w:ascii="Arial" w:hAnsi="Arial" w:eastAsia="Arial" w:cs="Arial"/>
          <w:b/>
          <w:bCs/>
          <w:lang w:val="en-US"/>
        </w:rPr>
        <w:spacing/>
      </w:pPr>
    </w:p>
    <w:p>
      <w:pPr>
        <w:rPr>
          <w:sz w:val="24"/>
          <w:rFonts w:ascii="Arial" w:hAnsi="Arial" w:eastAsia="Arial" w:cs="Arial"/>
          <w:b/>
          <w:bCs/>
          <w:lang w:val="en-US"/>
        </w:rPr>
        <w:spacing/>
      </w:pPr>
      <w:r>
        <w:rPr>
          <w:sz w:val="24"/>
          <w:rFonts w:ascii="Arial" w:hAnsi="Arial" w:eastAsia="Arial" w:cs="Arial"/>
          <w:b/>
          <w:bCs/>
          <w:lang w:val="en-US"/>
        </w:rPr>
        <w:t xml:space="preserve">Banking</w:t>
      </w:r>
    </w:p>
    <w:p>
      <w:pPr>
        <w:rPr>
          <w:sz w:val="24"/>
          <w:rFonts w:ascii="Arial" w:hAnsi="Arial" w:eastAsia="Arial" w:cs="Arial"/>
          <w:bCs/>
          <w:lang w:val="en-US"/>
        </w:rPr>
        <w:spacing/>
      </w:pPr>
      <w:r>
        <w:rPr>
          <w:sz w:val="24"/>
          <w:rFonts w:ascii="Arial" w:hAnsi="Arial" w:eastAsia="Arial" w:cs="Arial"/>
          <w:bCs/>
          <w:lang w:val="en-US"/>
        </w:rPr>
        <w:t xml:space="preserve">Banks as providers of liquidity insurance.</w:t>
      </w:r>
      <w:r>
        <w:rPr>
          <w:sz w:val="24"/>
          <w:rFonts w:ascii="Arial" w:hAnsi="Arial" w:eastAsia="Arial" w:cs="Arial"/>
          <w:bCs/>
          <w:lang w:val="en-US"/>
        </w:rPr>
        <w:t xml:space="preserve"> </w:t>
      </w:r>
      <w:r>
        <w:rPr>
          <w:sz w:val="24"/>
          <w:rFonts w:ascii="Arial" w:hAnsi="Arial" w:eastAsia="Arial" w:cs="Arial"/>
          <w:bCs/>
          <w:lang w:val="en-US"/>
        </w:rPr>
        <w:t xml:space="preserve">The problem of “bank runs”</w:t>
      </w:r>
      <w:r>
        <w:rPr>
          <w:sz w:val="24"/>
          <w:rFonts w:ascii="Arial" w:hAnsi="Arial" w:eastAsia="Arial" w:cs="Arial"/>
          <w:bCs/>
          <w:lang w:val="en-US"/>
        </w:rPr>
        <w:t xml:space="preserve">.</w:t>
      </w:r>
      <w:r>
        <w:rPr>
          <w:sz w:val="24"/>
          <w:rFonts w:ascii="Arial" w:hAnsi="Arial" w:eastAsia="Arial" w:cs="Arial"/>
          <w:bCs/>
          <w:lang w:val="en-US"/>
        </w:rPr>
        <w:t xml:space="preserve"> </w:t>
      </w:r>
      <w:r>
        <w:rPr>
          <w:sz w:val="24"/>
          <w:rFonts w:ascii="Arial" w:hAnsi="Arial" w:eastAsia="Arial" w:cs="Arial"/>
          <w:bCs/>
          <w:lang w:val="en-US"/>
        </w:rPr>
        <w:t xml:space="preserve">Banking and financial intermediation.</w:t>
      </w:r>
    </w:p>
    <w:p>
      <w:pPr>
        <w:rPr>
          <w:sz w:val="24"/>
          <w:rFonts w:ascii="Arial" w:hAnsi="Arial" w:eastAsia="Arial" w:cs="Arial"/>
          <w:bCs/>
          <w:lang w:val="en-US"/>
        </w:rPr>
        <w:spacing/>
      </w:pP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Diamond &amp; </w:t>
      </w:r>
      <w:r>
        <w:rPr>
          <w:sz w:val="24"/>
          <w:rFonts w:ascii="Arial" w:hAnsi="Arial" w:eastAsia="Arial" w:cs="Arial"/>
          <w:bCs/>
          <w:lang w:val="en-US"/>
        </w:rPr>
        <w:t xml:space="preserve">Dybvig</w:t>
      </w:r>
      <w:r>
        <w:rPr>
          <w:sz w:val="24"/>
          <w:rFonts w:ascii="Arial" w:hAnsi="Arial" w:eastAsia="Arial" w:cs="Arial"/>
          <w:bCs/>
          <w:lang w:val="en-US"/>
        </w:rPr>
        <w:t xml:space="preserve"> (1983), “</w:t>
      </w:r>
      <w:r>
        <w:rPr>
          <w:sz w:val="24"/>
          <w:rFonts w:ascii="Arial" w:hAnsi="Arial" w:eastAsia="Arial" w:cs="Arial"/>
          <w:bCs/>
          <w:lang w:val="en-US"/>
        </w:rPr>
        <w:t xml:space="preserve">Bank runs, deposit insurance, and liquidity”, Journal of Political Economy, 91:401—419</w:t>
      </w: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Williamson (1987)</w:t>
      </w:r>
      <w:r>
        <w:rPr>
          <w:sz w:val="24"/>
          <w:rFonts w:ascii="Arial" w:hAnsi="Arial" w:eastAsia="Arial" w:cs="Arial"/>
          <w:bCs/>
          <w:lang w:val="en-US"/>
        </w:rPr>
        <w:t xml:space="preserve">, “Recent developments in model</w:t>
      </w:r>
      <w:r>
        <w:rPr>
          <w:sz w:val="24"/>
          <w:rFonts w:ascii="Arial" w:hAnsi="Arial" w:eastAsia="Arial" w:cs="Arial"/>
          <w:bCs/>
          <w:lang w:val="en-US"/>
        </w:rPr>
        <w:t xml:space="preserve">ing financial intermediation”, </w:t>
      </w:r>
      <w:r>
        <w:rPr>
          <w:sz w:val="24"/>
          <w:rFonts w:ascii="Arial" w:hAnsi="Arial" w:eastAsia="Arial" w:cs="Arial"/>
          <w:bCs/>
          <w:lang w:val="en-US"/>
        </w:rPr>
        <w:t xml:space="preserve">Federal Reserve Bank of Minneapolis Quarterly Review</w:t>
      </w:r>
      <w:r>
        <w:rPr>
          <w:sz w:val="24"/>
          <w:rFonts w:ascii="Arial" w:hAnsi="Arial" w:eastAsia="Arial" w:cs="Arial"/>
          <w:bCs/>
          <w:lang w:val="en-US"/>
        </w:rPr>
        <w:t xml:space="preserve"> 1132</w:t>
      </w:r>
    </w:p>
    <w:p>
      <w:pPr>
        <w:numPr>
          <w:ilvl w:val="0"/>
          <w:numId w:val="18"/>
        </w:numPr>
        <w:rPr>
          <w:sz w:val="24"/>
          <w:rFonts w:ascii="Arial" w:hAnsi="Arial" w:eastAsia="Arial" w:cs="Arial"/>
          <w:bCs/>
          <w:lang w:val="en-US"/>
        </w:rPr>
        <w:spacing/>
      </w:pPr>
      <w:r>
        <w:rPr>
          <w:sz w:val="24"/>
          <w:rFonts w:ascii="Arial" w:hAnsi="Arial" w:eastAsia="Arial" w:cs="Arial"/>
          <w:bCs/>
          <w:lang w:val="en-US"/>
        </w:rPr>
        <w:t xml:space="preserve">Woodford (2010), “Financial intermediation and macroeconomic analysis”, Journal of Economic Perspectives</w:t>
      </w:r>
    </w:p>
    <w:p>
      <w:pPr>
        <w:rPr>
          <w:sz w:val="24"/>
          <w:rFonts w:ascii="Arial" w:hAnsi="Arial" w:eastAsia="Arial" w:cs="Arial"/>
          <w:b/>
          <w:bCs/>
          <w:lang w:val="en-US"/>
        </w:rPr>
        <w:spacing/>
      </w:pPr>
    </w:p>
    <w:p>
      <w:pPr>
        <w:rPr>
          <w:sz w:val="24"/>
          <w:rFonts w:ascii="Arial" w:hAnsi="Arial" w:eastAsia="Arial" w:cs="Arial"/>
          <w:b/>
          <w:bCs/>
          <w:lang w:val="en-US"/>
        </w:rPr>
        <w:spacing/>
      </w:pPr>
      <w:r>
        <w:rPr>
          <w:sz w:val="24"/>
          <w:rFonts w:ascii="Arial" w:hAnsi="Arial" w:eastAsia="Arial" w:cs="Arial"/>
          <w:b/>
          <w:bCs/>
          <w:lang w:val="en-US"/>
        </w:rPr>
        <w:t xml:space="preserve">Credit</w:t>
      </w:r>
    </w:p>
    <w:p>
      <w:pPr>
        <w:rPr>
          <w:sz w:val="24"/>
          <w:rFonts w:ascii="Arial" w:hAnsi="Arial" w:eastAsia="Arial" w:cs="Arial"/>
          <w:bCs/>
          <w:lang w:val="en-US"/>
        </w:rPr>
        <w:spacing/>
      </w:pPr>
      <w:r>
        <w:rPr>
          <w:sz w:val="24"/>
          <w:rFonts w:ascii="Arial" w:hAnsi="Arial" w:eastAsia="Arial" w:cs="Arial"/>
          <w:bCs/>
          <w:lang w:val="en-US"/>
        </w:rPr>
        <w:t xml:space="preserve">The distinction between internal and external fin</w:t>
      </w:r>
      <w:r>
        <w:rPr>
          <w:sz w:val="24"/>
          <w:rFonts w:ascii="Arial" w:hAnsi="Arial" w:eastAsia="Arial" w:cs="Arial"/>
          <w:bCs/>
          <w:lang w:val="en-US"/>
        </w:rPr>
        <w:t xml:space="preserve">ance.</w:t>
      </w:r>
      <w:r>
        <w:rPr>
          <w:sz w:val="24"/>
          <w:rFonts w:ascii="Arial" w:hAnsi="Arial" w:eastAsia="Arial" w:cs="Arial"/>
          <w:bCs/>
          <w:lang w:val="en-US"/>
        </w:rPr>
        <w:t xml:space="preserve"> </w:t>
      </w:r>
      <w:r>
        <w:rPr>
          <w:sz w:val="24"/>
          <w:rFonts w:ascii="Arial" w:hAnsi="Arial" w:eastAsia="Arial" w:cs="Arial"/>
          <w:bCs/>
          <w:lang w:val="en-US"/>
        </w:rPr>
        <w:t xml:space="preserve">The role of collateral, </w:t>
      </w:r>
      <w:r>
        <w:rPr>
          <w:sz w:val="24"/>
          <w:rFonts w:ascii="Arial" w:hAnsi="Arial" w:eastAsia="Arial" w:cs="Arial"/>
          <w:bCs/>
          <w:lang w:val="en-US"/>
        </w:rPr>
        <w:t xml:space="preserve">net worth</w:t>
      </w:r>
      <w:r>
        <w:rPr>
          <w:sz w:val="24"/>
          <w:rFonts w:ascii="Arial" w:hAnsi="Arial" w:eastAsia="Arial" w:cs="Arial"/>
          <w:bCs/>
          <w:lang w:val="en-US"/>
        </w:rPr>
        <w:t xml:space="preserve"> and leverage</w:t>
      </w:r>
      <w:r>
        <w:rPr>
          <w:sz w:val="24"/>
          <w:rFonts w:ascii="Arial" w:hAnsi="Arial" w:eastAsia="Arial" w:cs="Arial"/>
          <w:bCs/>
          <w:lang w:val="en-US"/>
        </w:rPr>
        <w:t xml:space="preserve">.</w:t>
      </w:r>
      <w:r>
        <w:rPr>
          <w:sz w:val="24"/>
          <w:rFonts w:ascii="Arial" w:hAnsi="Arial" w:eastAsia="Arial" w:cs="Arial"/>
          <w:bCs/>
          <w:lang w:val="en-US"/>
        </w:rPr>
        <w:t xml:space="preserve"> Interest rate spreads and the “external finance premium”.</w:t>
      </w:r>
    </w:p>
    <w:p>
      <w:pPr>
        <w:rPr>
          <w:sz w:val="24"/>
          <w:rFonts w:ascii="Arial" w:hAnsi="Arial" w:eastAsia="Arial" w:cs="Arial"/>
          <w:bCs/>
          <w:lang w:val="en-US"/>
        </w:rPr>
        <w:spacing/>
      </w:pPr>
    </w:p>
    <w:p>
      <w:pPr>
        <w:numPr>
          <w:ilvl w:val="0"/>
          <w:numId w:val="17"/>
        </w:numPr>
        <w:rPr>
          <w:sz w:val="24"/>
          <w:rFonts w:ascii="Arial" w:hAnsi="Arial" w:eastAsia="Arial" w:cs="Arial"/>
          <w:bCs/>
          <w:lang w:val="en-US"/>
        </w:rPr>
        <w:spacing/>
      </w:pPr>
      <w:r>
        <w:rPr>
          <w:sz w:val="24"/>
          <w:rFonts w:ascii="Arial" w:hAnsi="Arial" w:eastAsia="Arial" w:cs="Arial"/>
          <w:bCs/>
          <w:lang w:val="en-US"/>
        </w:rPr>
        <w:t xml:space="preserve">Walsh, chapter </w:t>
      </w:r>
      <w:r>
        <w:rPr>
          <w:sz w:val="24"/>
          <w:rFonts w:ascii="Arial" w:hAnsi="Arial" w:eastAsia="Arial" w:cs="Arial"/>
          <w:bCs/>
          <w:lang w:val="en-US"/>
        </w:rPr>
        <w:t xml:space="preserve">7</w:t>
      </w:r>
    </w:p>
    <w:p>
      <w:pPr>
        <w:numPr>
          <w:ilvl w:val="0"/>
          <w:numId w:val="17"/>
        </w:numPr>
        <w:rPr>
          <w:sz w:val="24"/>
          <w:rFonts w:ascii="Arial" w:hAnsi="Arial" w:eastAsia="Arial" w:cs="Arial"/>
          <w:bCs/>
          <w:lang w:val="en-US"/>
        </w:rPr>
        <w:spacing/>
      </w:pPr>
      <w:r>
        <w:rPr>
          <w:sz w:val="24"/>
          <w:rFonts w:ascii="Arial" w:hAnsi="Arial" w:eastAsia="Arial" w:cs="Arial"/>
          <w:bCs/>
          <w:lang w:val="en-US"/>
        </w:rPr>
        <w:t xml:space="preserve">Carlstrom</w:t>
      </w:r>
      <w:r>
        <w:rPr>
          <w:sz w:val="24"/>
          <w:rFonts w:ascii="Arial" w:hAnsi="Arial" w:eastAsia="Arial" w:cs="Arial"/>
          <w:bCs/>
          <w:lang w:val="en-US"/>
        </w:rPr>
        <w:t xml:space="preserve"> &amp; </w:t>
      </w:r>
      <w:r>
        <w:rPr>
          <w:sz w:val="24"/>
          <w:rFonts w:ascii="Arial" w:hAnsi="Arial" w:eastAsia="Arial" w:cs="Arial"/>
          <w:bCs/>
          <w:lang w:val="en-US"/>
        </w:rPr>
        <w:t xml:space="preserve">Fuerst</w:t>
      </w:r>
      <w:r>
        <w:rPr>
          <w:sz w:val="24"/>
          <w:rFonts w:ascii="Arial" w:hAnsi="Arial" w:eastAsia="Arial" w:cs="Arial"/>
          <w:bCs/>
          <w:lang w:val="en-US"/>
        </w:rPr>
        <w:t xml:space="preserve"> (1997), “Agency costs, net worth, and business fluctuations: A computable general equilibrium analysis”</w:t>
      </w:r>
      <w:r>
        <w:rPr>
          <w:sz w:val="24"/>
          <w:rFonts w:ascii="Arial" w:hAnsi="Arial" w:eastAsia="Arial" w:cs="Arial"/>
          <w:bCs/>
          <w:lang w:val="en-US"/>
        </w:rPr>
        <w:t xml:space="preserve">, American Economic Review, 87(5): 893—910</w:t>
      </w:r>
    </w:p>
    <w:p>
      <w:pPr>
        <w:numPr>
          <w:ilvl w:val="0"/>
          <w:numId w:val="17"/>
        </w:numPr>
        <w:rPr>
          <w:sz w:val="24"/>
          <w:rFonts w:ascii="Arial" w:hAnsi="Arial" w:eastAsia="Arial" w:cs="Arial"/>
          <w:bCs/>
          <w:lang w:val="en-US"/>
        </w:rPr>
        <w:spacing/>
      </w:pPr>
      <w:r>
        <w:rPr>
          <w:sz w:val="24"/>
          <w:rFonts w:ascii="Arial" w:hAnsi="Arial" w:eastAsia="Arial" w:cs="Arial"/>
          <w:bCs/>
          <w:lang w:val="en-US"/>
        </w:rPr>
        <w:t xml:space="preserve">Kiyotaki &amp; Moore</w:t>
      </w:r>
      <w:r>
        <w:rPr>
          <w:sz w:val="24"/>
          <w:rFonts w:ascii="Arial" w:hAnsi="Arial" w:eastAsia="Arial" w:cs="Arial"/>
          <w:bCs/>
          <w:lang w:val="en-US"/>
        </w:rPr>
        <w:t xml:space="preserve"> (1997)</w:t>
      </w:r>
      <w:r>
        <w:rPr>
          <w:sz w:val="24"/>
          <w:rFonts w:ascii="Arial" w:hAnsi="Arial" w:eastAsia="Arial" w:cs="Arial"/>
          <w:bCs/>
          <w:lang w:val="en-US"/>
        </w:rPr>
        <w:t xml:space="preserve">, “Credit cycles”, Journal of Political Economy, 105: 211—248</w:t>
      </w:r>
    </w:p>
    <w:p>
      <w:pPr>
        <w:rPr>
          <w:sz w:val="24"/>
          <w:rFonts w:ascii="Arial" w:hAnsi="Arial" w:eastAsia="Arial" w:cs="Arial"/>
          <w:b/>
          <w:bCs/>
          <w:lang w:val="en-US"/>
        </w:rPr>
        <w:spacing/>
      </w:pPr>
    </w:p>
    <w:p>
      <w:pPr>
        <w:rPr>
          <w:sz w:val="24"/>
          <w:rFonts w:ascii="Arial" w:hAnsi="Arial" w:eastAsia="Arial" w:cs="Arial"/>
          <w:b/>
          <w:bCs/>
          <w:lang w:val="en-US"/>
        </w:rPr>
        <w:spacing/>
      </w:pPr>
    </w:p>
    <w:p>
      <w:pPr>
        <w:rPr>
          <w:sz w:val="24"/>
          <w:rFonts w:ascii="Arial" w:hAnsi="Arial" w:eastAsia="Arial" w:cs="Arial"/>
          <w:b/>
          <w:bCs/>
          <w:lang w:val="en-US"/>
        </w:rPr>
        <w:spacing/>
      </w:pPr>
    </w:p>
    <w:p>
      <w:pPr>
        <w:rPr>
          <w:sz w:val="24"/>
          <w:rFonts w:ascii="Arial" w:hAnsi="Arial" w:eastAsia="Arial" w:cs="Arial"/>
          <w:b/>
          <w:bCs/>
        </w:rPr>
        <w:spacing/>
      </w:pPr>
      <w:r>
        <w:rPr>
          <w:sz w:val="24"/>
          <w:rFonts w:ascii="Arial" w:hAnsi="Arial" w:eastAsia="Arial" w:cs="Arial"/>
          <w:b/>
          <w:bCs/>
        </w:rPr>
        <w:t xml:space="preserve">The </w:t>
      </w:r>
      <w:r>
        <w:rPr>
          <w:sz w:val="24"/>
          <w:rFonts w:ascii="Arial" w:hAnsi="Arial" w:eastAsia="Arial" w:cs="Arial"/>
          <w:b/>
          <w:bCs/>
        </w:rPr>
        <w:t xml:space="preserve">intertermporal</w:t>
      </w:r>
      <w:r>
        <w:rPr>
          <w:sz w:val="24"/>
          <w:rFonts w:ascii="Arial" w:hAnsi="Arial" w:eastAsia="Arial" w:cs="Arial"/>
          <w:b/>
          <w:bCs/>
        </w:rPr>
        <w:t xml:space="preserve"> approach to the </w:t>
      </w:r>
      <w:r>
        <w:rPr>
          <w:sz w:val="24"/>
          <w:rFonts w:ascii="Arial" w:hAnsi="Arial" w:eastAsia="Arial" w:cs="Arial"/>
          <w:b/>
          <w:bCs/>
        </w:rPr>
        <w:t xml:space="preserve">Current account</w:t>
      </w:r>
    </w:p>
    <w:p>
      <w:pPr>
        <w:rPr>
          <w:sz w:val="24"/>
          <w:rFonts w:ascii="Arial" w:hAnsi="Arial" w:eastAsia="Arial" w:cs="Arial"/>
        </w:rPr>
        <w:spacing/>
      </w:pPr>
    </w:p>
    <w:p>
      <w:pPr>
        <w:rPr>
          <w:sz w:val="24"/>
          <w:rFonts w:ascii="Arial" w:hAnsi="Arial" w:eastAsia="Arial" w:cs="Arial"/>
        </w:rPr>
        <w:spacing/>
      </w:pPr>
      <w:r>
        <w:rPr>
          <w:sz w:val="24"/>
          <w:rFonts w:ascii="Arial" w:hAnsi="Arial" w:eastAsia="Arial" w:cs="Arial"/>
        </w:rPr>
        <w:t xml:space="preserve">The determinants of current account dynamics in the context of an </w:t>
      </w:r>
      <w:r>
        <w:rPr>
          <w:sz w:val="24"/>
          <w:rFonts w:ascii="Arial" w:hAnsi="Arial" w:eastAsia="Arial" w:cs="Arial"/>
        </w:rPr>
        <w:t xml:space="preserve">intertermporal</w:t>
      </w:r>
      <w:r>
        <w:rPr>
          <w:sz w:val="24"/>
          <w:rFonts w:ascii="Arial" w:hAnsi="Arial" w:eastAsia="Arial" w:cs="Arial"/>
        </w:rPr>
        <w:t xml:space="preserve"> model.</w:t>
      </w:r>
    </w:p>
    <w:p>
      <w:pPr>
        <w:rPr>
          <w:sz w:val="24"/>
          <w:rFonts w:ascii="Arial" w:hAnsi="Arial" w:eastAsia="Arial" w:cs="Arial"/>
        </w:rPr>
        <w:spacing/>
      </w:pPr>
      <w:r>
        <w:rPr>
          <w:sz w:val="24"/>
          <w:rFonts w:ascii="Arial" w:hAnsi="Arial" w:eastAsia="Arial" w:cs="Arial"/>
        </w:rPr>
        <w:t xml:space="preserve">  </w:t>
      </w:r>
    </w:p>
    <w:p>
      <w:pPr>
        <w:numPr>
          <w:ilvl w:val="0"/>
          <w:numId w:val="9"/>
        </w:numPr>
        <w:rPr>
          <w:sz w:val="24"/>
          <w:rFonts w:ascii="Arial" w:hAnsi="Arial" w:eastAsia="Arial" w:cs="Arial"/>
        </w:rPr>
        <w:spacing/>
      </w:pPr>
      <w:r>
        <w:rPr>
          <w:sz w:val="24"/>
          <w:rFonts w:ascii="Arial" w:hAnsi="Arial" w:eastAsia="Arial" w:cs="Arial"/>
        </w:rPr>
        <w:t xml:space="preserve">Obstfeld</w:t>
      </w:r>
      <w:r>
        <w:rPr>
          <w:sz w:val="24"/>
          <w:rFonts w:ascii="Arial" w:hAnsi="Arial" w:eastAsia="Arial" w:cs="Arial"/>
        </w:rPr>
        <w:t xml:space="preserve"> and </w:t>
      </w:r>
      <w:r>
        <w:rPr>
          <w:sz w:val="24"/>
          <w:rFonts w:ascii="Arial" w:hAnsi="Arial" w:eastAsia="Arial" w:cs="Arial"/>
        </w:rPr>
        <w:t xml:space="preserve">Rogoff</w:t>
      </w:r>
      <w:r>
        <w:rPr>
          <w:sz w:val="24"/>
          <w:rFonts w:ascii="Arial" w:hAnsi="Arial" w:eastAsia="Arial" w:cs="Arial"/>
        </w:rPr>
        <w:t xml:space="preserve"> “Foundations of International Macroeconomics” chapter 1</w:t>
      </w:r>
    </w:p>
    <w:p>
      <w:pPr>
        <w:numPr>
          <w:ilvl w:val="0"/>
          <w:numId w:val="9"/>
        </w:numPr>
        <w:rPr>
          <w:sz w:val="22"/>
          <w:b/>
          <w:bCs/>
        </w:rPr>
        <w:spacing/>
      </w:pPr>
      <w:r>
        <w:rPr>
          <w:sz w:val="24"/>
          <w:rFonts w:ascii="Arial" w:hAnsi="Arial" w:eastAsia="Arial" w:cs="Arial"/>
        </w:rPr>
        <w:t xml:space="preserve">Is the </w:t>
      </w:r>
      <w:r>
        <w:rPr>
          <w:sz w:val="24"/>
          <w:rFonts w:ascii="Arial" w:hAnsi="Arial" w:eastAsia="Arial" w:cs="Arial"/>
        </w:rPr>
        <w:t xml:space="preserve">US</w:t>
      </w:r>
      <w:r>
        <w:rPr>
          <w:sz w:val="24"/>
          <w:rFonts w:ascii="Arial" w:hAnsi="Arial" w:eastAsia="Arial" w:cs="Arial"/>
        </w:rPr>
        <w:t xml:space="preserve"> current account sustainable? Implications for the foreign exchange market?</w:t>
      </w:r>
    </w:p>
    <w:p>
      <w:pPr>
        <w:rPr>
          <w:sz w:val="24"/>
          <w:rFonts w:ascii="Arial" w:hAnsi="Arial" w:eastAsia="Arial" w:cs="Arial"/>
          <w:bCs/>
        </w:rPr>
        <w:ind w:left="720"/>
        <w:spacing/>
      </w:pPr>
      <w:r>
        <w:rPr>
          <w:sz w:val="24"/>
          <w:rFonts w:ascii="Arial" w:hAnsi="Arial" w:eastAsia="Arial" w:cs="Arial"/>
          <w:bCs/>
        </w:rPr>
        <w:t xml:space="preserve">Tille: The impact of Exchange Rate Movements on </w:t>
      </w:r>
      <w:r>
        <w:rPr>
          <w:sz w:val="24"/>
          <w:rFonts w:ascii="Arial" w:hAnsi="Arial" w:eastAsia="Arial" w:cs="Arial"/>
          <w:bCs/>
        </w:rPr>
        <w:t xml:space="preserve">U.S.</w:t>
      </w:r>
      <w:r>
        <w:rPr>
          <w:sz w:val="24"/>
          <w:rFonts w:ascii="Arial" w:hAnsi="Arial" w:eastAsia="Arial" w:cs="Arial"/>
          <w:bCs/>
        </w:rPr>
        <w:t xml:space="preserve"> foreign Debt </w:t>
      </w:r>
    </w:p>
    <w:p>
      <w:pPr>
        <w:rPr>
          <w:sz w:val="24"/>
          <w:rFonts w:ascii="Arial" w:hAnsi="Arial" w:eastAsia="Arial" w:cs="Arial"/>
          <w:bCs/>
        </w:rPr>
        <w:ind w:left="720"/>
        <w:spacing/>
      </w:pPr>
      <w:r>
        <w:rPr>
          <w:sz w:val="24"/>
          <w:rFonts w:ascii="Arial" w:hAnsi="Arial" w:eastAsia="Arial" w:cs="Arial"/>
          <w:bCs/>
        </w:rPr>
        <w:t xml:space="preserve">Doley</w:t>
      </w:r>
      <w:r>
        <w:rPr>
          <w:sz w:val="24"/>
          <w:rFonts w:ascii="Arial" w:hAnsi="Arial" w:eastAsia="Arial" w:cs="Arial"/>
          <w:bCs/>
        </w:rPr>
        <w:t xml:space="preserve">, M., D. </w:t>
      </w:r>
      <w:r>
        <w:rPr>
          <w:sz w:val="24"/>
          <w:rFonts w:ascii="Arial" w:hAnsi="Arial" w:eastAsia="Arial" w:cs="Arial"/>
          <w:bCs/>
        </w:rPr>
        <w:t xml:space="preserve">Folkerts</w:t>
      </w:r>
      <w:r>
        <w:rPr>
          <w:sz w:val="24"/>
          <w:rFonts w:ascii="Arial" w:hAnsi="Arial" w:eastAsia="Arial" w:cs="Arial"/>
          <w:bCs/>
        </w:rPr>
        <w:t xml:space="preserve"> Landau and P. Garber (2003), “An essay on the revived Bretton Woods System” NBER W.P. No. 9971</w:t>
      </w:r>
    </w:p>
    <w:p>
      <w:pPr>
        <w:rPr>
          <w:sz w:val="24"/>
          <w:rFonts w:ascii="Arial" w:hAnsi="Arial" w:eastAsia="Arial" w:cs="Arial"/>
        </w:rPr>
        <w:spacing/>
      </w:pPr>
    </w:p>
    <w:p>
      <w:pPr>
        <w:rPr>
          <w:sz w:val="24"/>
          <w:rFonts w:ascii="Arial" w:hAnsi="Arial" w:eastAsia="Arial" w:cs="Arial"/>
          <w:b/>
          <w:bCs/>
        </w:rPr>
        <w:spacing/>
      </w:pPr>
      <w:r>
        <w:rPr>
          <w:sz w:val="24"/>
          <w:rFonts w:ascii="Arial" w:hAnsi="Arial" w:eastAsia="Arial" w:cs="Arial"/>
          <w:b/>
          <w:bCs/>
        </w:rPr>
        <w:t xml:space="preserve">Models </w:t>
      </w:r>
      <w:r>
        <w:rPr>
          <w:sz w:val="24"/>
          <w:rFonts w:ascii="Arial" w:hAnsi="Arial" w:eastAsia="Arial" w:cs="Arial"/>
          <w:b/>
          <w:bCs/>
        </w:rPr>
        <w:t xml:space="preserve">Of</w:t>
      </w:r>
      <w:r>
        <w:rPr>
          <w:sz w:val="24"/>
          <w:rFonts w:ascii="Arial" w:hAnsi="Arial" w:eastAsia="Arial" w:cs="Arial"/>
          <w:b/>
          <w:bCs/>
        </w:rPr>
        <w:t xml:space="preserve"> Exchange Rate Determination and Currency Crisis</w:t>
      </w:r>
    </w:p>
    <w:p>
      <w:pPr>
        <w:rPr>
          <w:sz w:val="24"/>
          <w:rFonts w:ascii="Arial" w:hAnsi="Arial" w:eastAsia="Arial" w:cs="Arial"/>
          <w:bCs/>
        </w:rPr>
        <w:spacing/>
      </w:pPr>
      <w:r>
        <w:rPr>
          <w:sz w:val="24"/>
          <w:rFonts w:ascii="Arial" w:hAnsi="Arial" w:eastAsia="Arial" w:cs="Arial"/>
          <w:bCs/>
        </w:rPr>
        <w:t xml:space="preserve">Exchange Rate determination in the context of flexible and sticky prices models.</w:t>
      </w:r>
    </w:p>
    <w:p>
      <w:pPr>
        <w:numPr>
          <w:ilvl w:val="0"/>
          <w:numId w:val="9"/>
        </w:numPr>
        <w:rPr>
          <w:sz w:val="24"/>
          <w:rFonts w:ascii="Arial" w:hAnsi="Arial" w:eastAsia="Arial" w:cs="Arial"/>
        </w:rPr>
        <w:spacing/>
      </w:pPr>
      <w:r>
        <w:rPr>
          <w:sz w:val="24"/>
          <w:rFonts w:ascii="Arial" w:hAnsi="Arial" w:eastAsia="Arial" w:cs="Arial"/>
        </w:rPr>
        <w:t xml:space="preserve">Obstfeld</w:t>
      </w:r>
      <w:r>
        <w:rPr>
          <w:sz w:val="24"/>
          <w:rFonts w:ascii="Arial" w:hAnsi="Arial" w:eastAsia="Arial" w:cs="Arial"/>
        </w:rPr>
        <w:t xml:space="preserve"> and </w:t>
      </w:r>
      <w:r>
        <w:rPr>
          <w:sz w:val="24"/>
          <w:rFonts w:ascii="Arial" w:hAnsi="Arial" w:eastAsia="Arial" w:cs="Arial"/>
        </w:rPr>
        <w:t xml:space="preserve">Rogoff</w:t>
      </w:r>
      <w:r>
        <w:rPr>
          <w:sz w:val="24"/>
          <w:rFonts w:ascii="Arial" w:hAnsi="Arial" w:eastAsia="Arial" w:cs="Arial"/>
        </w:rPr>
        <w:t xml:space="preserve"> “Foundations of International Macroeconomics” chapter 8</w:t>
      </w:r>
    </w:p>
    <w:p>
      <w:pPr>
        <w:numPr>
          <w:ilvl w:val="0"/>
          <w:numId w:val="9"/>
        </w:numPr>
        <w:rPr>
          <w:sz w:val="24"/>
          <w:rFonts w:ascii="Arial" w:hAnsi="Arial" w:eastAsia="Arial" w:cs="Arial"/>
        </w:rPr>
        <w:spacing/>
      </w:pPr>
      <w:r>
        <w:rPr>
          <w:sz w:val="24"/>
          <w:rFonts w:ascii="Arial" w:hAnsi="Arial" w:eastAsia="Arial" w:cs="Arial"/>
        </w:rPr>
        <w:t xml:space="preserve">Krugman “A Model of Balance of Payment Crisis” Journal of Money Credit and Banking, 1979.</w:t>
      </w:r>
    </w:p>
    <w:p>
      <w:pPr>
        <w:rPr>
          <w:sz w:val="24"/>
          <w:rFonts w:ascii="Arial" w:hAnsi="Arial" w:eastAsia="Arial" w:cs="Arial"/>
        </w:rPr>
        <w:spacing/>
      </w:pPr>
    </w:p>
    <w:p>
      <w:pPr>
        <w:rPr>
          <w:sz w:val="24"/>
          <w:rFonts w:ascii="Arial" w:hAnsi="Arial" w:eastAsia="Arial" w:cs="Arial"/>
          <w:b/>
          <w:bCs/>
        </w:rPr>
        <w:spacing/>
      </w:pPr>
      <w:r>
        <w:rPr>
          <w:sz w:val="24"/>
          <w:rFonts w:ascii="Arial" w:hAnsi="Arial" w:eastAsia="Arial" w:cs="Arial"/>
          <w:b/>
          <w:bCs/>
        </w:rPr>
        <w:t xml:space="preserve">Financia</w:t>
      </w:r>
      <w:r>
        <w:rPr>
          <w:sz w:val="24"/>
          <w:rFonts w:ascii="Arial" w:hAnsi="Arial" w:eastAsia="Arial" w:cs="Arial"/>
          <w:b/>
          <w:bCs/>
        </w:rPr>
        <w:t xml:space="preserve">l crisis, Deleveraging Crisis and Policy Responses</w:t>
      </w:r>
    </w:p>
    <w:p>
      <w:pPr>
        <w:rPr>
          <w:sz w:val="24"/>
          <w:rFonts w:ascii="Arial" w:hAnsi="Arial" w:eastAsia="Arial" w:cs="Arial"/>
          <w:bCs/>
        </w:rPr>
        <w:spacing/>
      </w:pPr>
      <w:r>
        <w:rPr>
          <w:sz w:val="24"/>
          <w:rFonts w:ascii="Arial" w:hAnsi="Arial" w:eastAsia="Arial" w:cs="Arial"/>
        </w:rPr>
        <w:t xml:space="preserve">Overview and analysis of the recent financial crisis</w:t>
      </w:r>
      <w:r>
        <w:rPr>
          <w:sz w:val="24"/>
          <w:rFonts w:ascii="Arial" w:hAnsi="Arial" w:eastAsia="Arial" w:cs="Arial"/>
        </w:rPr>
        <w:t xml:space="preserve"> and analysis of models with borrowing limits.</w:t>
      </w:r>
    </w:p>
    <w:p>
      <w:pPr>
        <w:numPr>
          <w:ilvl w:val="0"/>
          <w:numId w:val="11"/>
        </w:numPr>
        <w:rPr>
          <w:sz w:val="24"/>
          <w:rFonts w:ascii="Arial" w:hAnsi="Arial" w:eastAsia="Arial" w:cs="Arial"/>
          <w:bCs/>
        </w:rPr>
        <w:spacing/>
      </w:pPr>
      <w:r>
        <w:rPr>
          <w:sz w:val="24"/>
          <w:rFonts w:ascii="Arial" w:hAnsi="Arial" w:eastAsia="Arial" w:cs="Arial"/>
          <w:bCs/>
        </w:rPr>
        <w:t xml:space="preserve"> Taylor, J.</w:t>
      </w:r>
      <w:r>
        <w:rPr>
          <w:sz w:val="24"/>
          <w:rFonts w:ascii="Arial" w:hAnsi="Arial" w:eastAsia="Arial" w:cs="Arial"/>
          <w:bCs/>
        </w:rPr>
        <w:t xml:space="preserve"> (2009)</w:t>
      </w:r>
      <w:r>
        <w:rPr>
          <w:sz w:val="24"/>
          <w:rFonts w:ascii="Arial" w:hAnsi="Arial" w:eastAsia="Arial" w:cs="Arial"/>
          <w:bCs/>
        </w:rPr>
        <w:t xml:space="preserve"> “The Financial Crisis and Policy Responses: An Empirical analysis of what went wrong</w:t>
      </w:r>
      <w:r>
        <w:rPr>
          <w:sz w:val="24"/>
          <w:rFonts w:ascii="Arial" w:hAnsi="Arial" w:eastAsia="Arial" w:cs="Arial"/>
          <w:bCs/>
        </w:rPr>
        <w:t xml:space="preserve">”</w:t>
      </w:r>
    </w:p>
    <w:p>
      <w:pPr>
        <w:numPr>
          <w:ilvl w:val="0"/>
          <w:numId w:val="11"/>
        </w:numPr>
        <w:rPr>
          <w:sz w:val="24"/>
          <w:rFonts w:ascii="Arial" w:hAnsi="Arial" w:eastAsia="Arial" w:cs="Arial"/>
          <w:bCs/>
        </w:rPr>
        <w:spacing/>
      </w:pPr>
      <w:r>
        <w:rPr>
          <w:sz w:val="24"/>
          <w:rFonts w:ascii="Arial" w:hAnsi="Arial" w:eastAsia="Arial" w:cs="Arial"/>
          <w:bCs/>
        </w:rPr>
        <w:t xml:space="preserve"> </w:t>
      </w:r>
      <w:r>
        <w:rPr>
          <w:sz w:val="24"/>
          <w:rFonts w:ascii="Arial" w:hAnsi="Arial" w:eastAsia="Arial" w:cs="Arial"/>
          <w:bCs/>
        </w:rPr>
        <w:t xml:space="preserve">Eggertsson</w:t>
      </w:r>
      <w:r>
        <w:rPr>
          <w:sz w:val="24"/>
          <w:rFonts w:ascii="Arial" w:hAnsi="Arial" w:eastAsia="Arial" w:cs="Arial"/>
          <w:bCs/>
        </w:rPr>
        <w:t xml:space="preserve">, G. and P. Krugman (2010): “Debt, Deleveraging and Liquidity Trap”</w:t>
      </w:r>
    </w:p>
    <w:p>
      <w:pPr>
        <w:numPr>
          <w:ilvl w:val="0"/>
          <w:numId w:val="11"/>
        </w:numPr>
        <w:rPr>
          <w:sz w:val="24"/>
          <w:rFonts w:ascii="Arial" w:hAnsi="Arial" w:eastAsia="Arial" w:cs="Arial"/>
          <w:bCs/>
        </w:rPr>
        <w:spacing/>
      </w:pPr>
      <w:r>
        <w:rPr>
          <w:sz w:val="24"/>
          <w:rFonts w:ascii="Arial" w:hAnsi="Arial" w:eastAsia="Arial" w:cs="Arial"/>
          <w:bCs/>
        </w:rPr>
        <w:t xml:space="preserve">Mendoza</w:t>
      </w:r>
      <w:r>
        <w:rPr>
          <w:sz w:val="24"/>
          <w:rFonts w:ascii="Arial" w:hAnsi="Arial" w:eastAsia="Arial" w:cs="Arial"/>
          <w:bCs/>
        </w:rPr>
        <w:t xml:space="preserve">, E. (2005) “Real Exchange Rate Volatility and the Price of Non-tradable goods in Economies Prone to </w:t>
      </w:r>
      <w:r>
        <w:rPr>
          <w:sz w:val="24"/>
          <w:rFonts w:ascii="Arial" w:hAnsi="Arial" w:eastAsia="Arial" w:cs="Arial"/>
          <w:bCs/>
        </w:rPr>
        <w:t xml:space="preserve">Suddent</w:t>
      </w:r>
      <w:r>
        <w:rPr>
          <w:sz w:val="24"/>
          <w:rFonts w:ascii="Arial" w:hAnsi="Arial" w:eastAsia="Arial" w:cs="Arial"/>
          <w:bCs/>
        </w:rPr>
        <w:t xml:space="preserve"> Stops”. </w:t>
      </w:r>
      <w:r>
        <w:rPr>
          <w:sz w:val="24"/>
          <w:rFonts w:ascii="Arial" w:hAnsi="Arial" w:eastAsia="Arial" w:cs="Arial"/>
          <w:bCs/>
        </w:rPr>
        <w:t xml:space="preserve">Economia</w:t>
      </w:r>
      <w:r>
        <w:rPr>
          <w:sz w:val="24"/>
          <w:rFonts w:ascii="Arial" w:hAnsi="Arial" w:eastAsia="Arial" w:cs="Arial"/>
          <w:bCs/>
        </w:rPr>
        <w:t xml:space="preserve"> 2005</w:t>
      </w:r>
    </w:p>
    <w:p>
      <w:pPr>
        <w:numPr>
          <w:ilvl w:val="0"/>
          <w:numId w:val="11"/>
        </w:numPr>
        <w:rPr>
          <w:sz w:val="24"/>
          <w:rFonts w:ascii="Arial" w:hAnsi="Arial" w:eastAsia="Arial" w:cs="Arial"/>
          <w:bCs/>
        </w:rPr>
        <w:spacing/>
      </w:pPr>
      <w:r>
        <w:rPr>
          <w:sz w:val="24"/>
          <w:rFonts w:ascii="Arial" w:hAnsi="Arial" w:eastAsia="Arial" w:cs="Arial"/>
          <w:bCs/>
        </w:rPr>
        <w:t xml:space="preserve">Bianchi, J. (2010) “</w:t>
      </w:r>
      <w:r>
        <w:rPr>
          <w:sz w:val="24"/>
          <w:rFonts w:ascii="Arial" w:hAnsi="Arial" w:eastAsia="Arial" w:cs="Arial"/>
          <w:bCs/>
        </w:rPr>
        <w:t xml:space="preserve">Overborrowing</w:t>
      </w:r>
      <w:r>
        <w:rPr>
          <w:sz w:val="24"/>
          <w:rFonts w:ascii="Arial" w:hAnsi="Arial" w:eastAsia="Arial" w:cs="Arial"/>
          <w:bCs/>
        </w:rPr>
        <w:t xml:space="preserve"> and Systemic Externalities”</w:t>
      </w:r>
    </w:p>
    <w:p>
      <w:pPr>
        <w:rPr>
          <w:sz w:val="24"/>
          <w:rFonts w:ascii="Arial" w:hAnsi="Arial" w:eastAsia="Arial" w:cs="Arial"/>
          <w:bCs/>
        </w:rPr>
        <w:spacing/>
      </w:pPr>
    </w:p>
    <w:p>
      <w:pPr>
        <w:rPr>
          <w:sz w:val="24"/>
          <w:rFonts w:ascii="Arial" w:hAnsi="Arial" w:eastAsia="Arial" w:cs="Arial"/>
          <w:b/>
          <w:bCs/>
        </w:rPr>
        <w:spacing/>
      </w:pPr>
      <w:r>
        <w:rPr>
          <w:sz w:val="24"/>
          <w:rFonts w:ascii="Arial" w:hAnsi="Arial" w:eastAsia="Arial" w:cs="Arial"/>
          <w:b/>
          <w:bCs/>
        </w:rPr>
        <w:t xml:space="preserve">Sovereign Debt Crises</w:t>
      </w:r>
    </w:p>
    <w:p>
      <w:pPr>
        <w:rPr>
          <w:sz w:val="24"/>
          <w:rFonts w:ascii="Arial" w:hAnsi="Arial" w:eastAsia="Arial" w:cs="Arial"/>
          <w:b/>
          <w:bCs/>
        </w:rPr>
        <w:spacing/>
      </w:pPr>
    </w:p>
    <w:p>
      <w:pPr>
        <w:rPr>
          <w:sz w:val="24"/>
          <w:rFonts w:ascii="Arial" w:hAnsi="Arial" w:eastAsia="Arial" w:cs="Arial"/>
          <w:bCs/>
        </w:rPr>
        <w:spacing/>
      </w:pPr>
      <w:r>
        <w:rPr>
          <w:sz w:val="24"/>
          <w:rFonts w:ascii="Arial" w:hAnsi="Arial" w:eastAsia="Arial" w:cs="Arial"/>
          <w:bCs/>
        </w:rPr>
        <w:t xml:space="preserve">Review of a classical model of sovereign debt crisis and its relation with the recent events in Europe</w:t>
      </w:r>
    </w:p>
    <w:p>
      <w:pPr>
        <w:numPr>
          <w:ilvl w:val="0"/>
          <w:numId w:val="8"/>
        </w:numPr>
        <w:pStyle w:val="ListParagraph"/>
        <w:rPr>
          <w:sz w:val="24"/>
          <w:rFonts w:ascii="Arial" w:hAnsi="Arial" w:eastAsia="Arial" w:cs="Arial"/>
          <w:bCs/>
        </w:rPr>
        <w:spacing/>
      </w:pPr>
      <w:r>
        <w:rPr>
          <w:sz w:val="24"/>
          <w:rFonts w:ascii="Arial" w:hAnsi="Arial" w:eastAsia="Arial" w:cs="Arial"/>
          <w:bCs/>
        </w:rPr>
        <w:t xml:space="preserve">Calvo</w:t>
      </w:r>
      <w:r>
        <w:rPr>
          <w:sz w:val="24"/>
          <w:rFonts w:ascii="Arial" w:hAnsi="Arial" w:eastAsia="Arial" w:cs="Arial"/>
          <w:bCs/>
        </w:rPr>
        <w:t xml:space="preserve">, G. (1988) “Servicing the Public Debt: the role of Expectations”. American Economic Review.</w:t>
      </w:r>
    </w:p>
    <w:p>
      <w:pPr>
        <w:rPr>
          <w:sz w:val="24"/>
          <w:rFonts w:ascii="Arial" w:hAnsi="Arial" w:eastAsia="Arial" w:cs="Arial"/>
          <w:bCs/>
        </w:rPr>
        <w:spacing/>
      </w:pPr>
    </w:p>
    <w:p>
      <w:pPr>
        <w:rPr>
          <w:sz w:val="24"/>
          <w:rFonts w:ascii="Arial" w:hAnsi="Arial" w:eastAsia="Arial" w:cs="Arial"/>
          <w:bCs/>
        </w:rPr>
        <w:spacing/>
      </w:pPr>
    </w:p>
    <w:sectPr>
      <w:type w:val="nextPage"/>
      <w:pgSz w:w="11906" w:h="16838"/>
      <w:pgMar w:top="1985" w:right="1701" w:bottom="1701" w:left="1701" w:footer="992" w:header="851" w:gutter="0"/>
      <w:pgBorders/>
      <w:docGrid w:type="lines" w:linePitch="360"/>
      <w:pgNumType w:fmt="decimal"/>
      <w:cols w:num="1" w:equalWidth="1" w:space="425"/>
    </w:sectPr>
  </w:body>
</w:document>
</file>

<file path=word/fontTable.xml><?xml version="1.0" encoding="utf-8"?>
<w:fonts xmlns:r="http://schemas.openxmlformats.org/officeDocument/2006/relationships" xmlns:w="http://schemas.openxmlformats.org/wordprocessingml/2006/main">
  <w:font w:name="MS Mincho">
    <w:altName w:val="ＭＳ 明朝"/>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bullet"/>
      <w:lvlText w:val=""/>
      <w:suff w:val="tab"/>
      <w:pPr>
        <w:tabs>
          <w:tab w:pos="720" w:val="num"/>
        </w:tabs>
        <w:ind w:left="720" w:firstLine="-360"/>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3">
    <w:lvl w:ilvl="0">
      <w:start w:val="1"/>
      <w:numFmt w:val="bullet"/>
      <w:lvlText w:val=""/>
      <w:suff w:val="tab"/>
      <w:pPr>
        <w:tabs>
          <w:tab w:pos="720" w:val="num"/>
        </w:tabs>
        <w:ind w:left="720" w:firstLine="-360"/>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4">
    <w:lvl w:ilvl="0">
      <w:start w:val="1"/>
      <w:numFmt w:val="bullet"/>
      <w:lvlText w:val=""/>
      <w:suff w:val="tab"/>
      <w:pPr>
        <w:tabs>
          <w:tab w:pos="720" w:val="num"/>
        </w:tabs>
        <w:ind w:left="720" w:firstLine="-360"/>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5">
    <w:lvl w:ilvl="0">
      <w:start w:val="1"/>
      <w:numFmt w:val="decimal"/>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6">
    <w:lvl w:ilvl="0">
      <w:start w:val="1"/>
      <w:numFmt w:val="bullet"/>
      <w:lvlText w:val=""/>
      <w:suff w:val="tab"/>
      <w:pPr>
        <w:tabs>
          <w:tab w:pos="720" w:val="num"/>
        </w:tabs>
        <w:ind w:left="720" w:firstLine="-360"/>
        <w:spacing/>
      </w:pPr>
      <w:rPr>
        <w:rFonts w:ascii="Symbol" w:hAnsi="Symbol" w:eastAsia="Symbol" w:cs="Symbol"/>
      </w:rPr>
    </w:lvl>
    <w:lvl w:ilvl="1">
      <w:start w:val="3"/>
      <w:numFmt w:val="decimal"/>
      <w:lvlText w:val="%2."/>
      <w:suff w:val="tab"/>
      <w:pPr>
        <w:tabs>
          <w:tab w:pos="1440" w:val="num"/>
        </w:tabs>
        <w:ind w:left="1440" w:firstLine="-360"/>
        <w:spacing/>
      </w:pPr>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7">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8">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9">
    <w:lvl w:ilvl="0">
      <w:start w:val="1"/>
      <w:numFmt w:val="decimal"/>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10">
    <w:lvl w:ilvl="0">
      <w:start w:val="1"/>
      <w:numFmt w:val="bullet"/>
      <w:lvlText w:val=""/>
      <w:suff w:val="tab"/>
      <w:pPr>
        <w:ind w:left="950" w:firstLine="-360"/>
        <w:spacing/>
      </w:pPr>
      <w:rPr>
        <w:rFonts w:ascii="Symbol" w:hAnsi="Symbol" w:eastAsia="Symbol" w:cs="Symbol"/>
      </w:rPr>
    </w:lvl>
    <w:lvl w:ilvl="1">
      <w:start w:val="1"/>
      <w:numFmt w:val="bullet"/>
      <w:lvlText w:val="o"/>
      <w:suff w:val="tab"/>
      <w:pPr>
        <w:ind w:left="1670" w:firstLine="-360"/>
        <w:spacing/>
      </w:pPr>
      <w:rPr>
        <w:rFonts w:ascii="Courier New" w:hAnsi="Courier New" w:eastAsia="Courier New" w:cs="Courier New"/>
      </w:rPr>
    </w:lvl>
    <w:lvl w:ilvl="2">
      <w:start w:val="1"/>
      <w:numFmt w:val="bullet"/>
      <w:lvlText w:val=""/>
      <w:suff w:val="tab"/>
      <w:pPr>
        <w:ind w:left="2390" w:firstLine="-360"/>
        <w:spacing/>
      </w:pPr>
      <w:rPr>
        <w:rFonts w:ascii="Wingdings" w:hAnsi="Wingdings" w:eastAsia="Wingdings" w:cs="Wingdings"/>
      </w:rPr>
    </w:lvl>
    <w:lvl w:ilvl="3">
      <w:start w:val="1"/>
      <w:numFmt w:val="bullet"/>
      <w:lvlText w:val=""/>
      <w:suff w:val="tab"/>
      <w:pPr>
        <w:ind w:left="3110" w:firstLine="-360"/>
        <w:spacing/>
      </w:pPr>
      <w:rPr>
        <w:rFonts w:ascii="Symbol" w:hAnsi="Symbol" w:eastAsia="Symbol" w:cs="Symbol"/>
      </w:rPr>
    </w:lvl>
    <w:lvl w:ilvl="4">
      <w:start w:val="1"/>
      <w:numFmt w:val="bullet"/>
      <w:lvlText w:val="o"/>
      <w:suff w:val="tab"/>
      <w:pPr>
        <w:ind w:left="3830" w:firstLine="-360"/>
        <w:spacing/>
      </w:pPr>
      <w:rPr>
        <w:rFonts w:ascii="Courier New" w:hAnsi="Courier New" w:eastAsia="Courier New" w:cs="Courier New"/>
      </w:rPr>
    </w:lvl>
    <w:lvl w:ilvl="5">
      <w:start w:val="1"/>
      <w:numFmt w:val="bullet"/>
      <w:lvlText w:val=""/>
      <w:suff w:val="tab"/>
      <w:pPr>
        <w:ind w:left="4550" w:firstLine="-360"/>
        <w:spacing/>
      </w:pPr>
      <w:rPr>
        <w:rFonts w:ascii="Wingdings" w:hAnsi="Wingdings" w:eastAsia="Wingdings" w:cs="Wingdings"/>
      </w:rPr>
    </w:lvl>
    <w:lvl w:ilvl="6">
      <w:start w:val="1"/>
      <w:numFmt w:val="bullet"/>
      <w:lvlText w:val=""/>
      <w:suff w:val="tab"/>
      <w:pPr>
        <w:ind w:left="5270" w:firstLine="-360"/>
        <w:spacing/>
      </w:pPr>
      <w:rPr>
        <w:rFonts w:ascii="Symbol" w:hAnsi="Symbol" w:eastAsia="Symbol" w:cs="Symbol"/>
      </w:rPr>
    </w:lvl>
    <w:lvl w:ilvl="7">
      <w:start w:val="1"/>
      <w:numFmt w:val="bullet"/>
      <w:lvlText w:val="o"/>
      <w:suff w:val="tab"/>
      <w:pPr>
        <w:ind w:left="5990" w:firstLine="-360"/>
        <w:spacing/>
      </w:pPr>
      <w:rPr>
        <w:rFonts w:ascii="Courier New" w:hAnsi="Courier New" w:eastAsia="Courier New" w:cs="Courier New"/>
      </w:rPr>
    </w:lvl>
    <w:lvl w:ilvl="8">
      <w:start w:val="1"/>
      <w:numFmt w:val="bullet"/>
      <w:lvlText w:val=""/>
      <w:suff w:val="tab"/>
      <w:pPr>
        <w:ind w:left="6710" w:firstLine="-360"/>
        <w:spacing/>
      </w:pPr>
      <w:rPr>
        <w:rFonts w:ascii="Wingdings" w:hAnsi="Wingdings" w:eastAsia="Wingdings" w:cs="Wingdings"/>
      </w:rPr>
    </w:lvl>
  </w:abstractNum>
  <w:abstractNum w:abstractNumId="11">
    <w:lvl w:ilvl="0">
      <w:start w:val="1"/>
      <w:numFmt w:val="bullet"/>
      <w:lvlText w:val=""/>
      <w:suff w:val="tab"/>
      <w:pPr>
        <w:tabs>
          <w:tab w:pos="720" w:val="num"/>
        </w:tabs>
        <w:ind w:left="720" w:firstLine="-360"/>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12">
    <w:lvl w:ilvl="0">
      <w:start w:val="1"/>
      <w:numFmt w:val="bullet"/>
      <w:lvlText w:val=""/>
      <w:suff w:val="tab"/>
      <w:pPr>
        <w:tabs>
          <w:tab w:pos="720" w:val="num"/>
        </w:tabs>
        <w:ind w:left="720" w:firstLine="-360"/>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13">
    <w:lvl w:ilvl="0">
      <w:start w:val="3"/>
      <w:numFmt w:val="decimal"/>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14">
    <w:lvl w:ilvl="0">
      <w:start w:val="1"/>
      <w:numFmt w:val="decimal"/>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15">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6">
    <w:lvl w:ilvl="0">
      <w:start w:val="1"/>
      <w:numFmt w:val="bullet"/>
      <w:lvlText w:val=""/>
      <w:suff w:val="tab"/>
      <w:pPr>
        <w:tabs>
          <w:tab w:pos="720" w:val="num"/>
        </w:tabs>
        <w:ind w:left="720" w:firstLine="-360"/>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17">
    <w:lvl w:ilvl="0">
      <w:start w:val="1"/>
      <w:numFmt w:val="bullet"/>
      <w:lvlText w:val=""/>
      <w:suff w:val="tab"/>
      <w:pPr>
        <w:tabs>
          <w:tab w:pos="720" w:val="num"/>
        </w:tabs>
        <w:ind w:left="720" w:firstLine="-360"/>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18">
    <w:lvl w:ilvl="0">
      <w:start w:val="1"/>
      <w:numFmt w:val="bullet"/>
      <w:lvlText w:val=""/>
      <w:suff w:val="tab"/>
      <w:pPr>
        <w:tabs>
          <w:tab w:pos="420" w:val="num"/>
        </w:tabs>
        <w:ind w:left="420" w:firstLine="-420"/>
        <w:spacing/>
      </w:pPr>
      <w:rPr>
        <w:rFonts w:ascii="Wingdings" w:hAnsi="Wingdings" w:eastAsia="Wingdings" w:cs="Wingdings"/>
      </w:rPr>
    </w:lvl>
    <w:lvl w:ilvl="1">
      <w:start w:val="1"/>
      <w:numFmt w:val="bullet"/>
      <w:lvlText w:val=""/>
      <w:suff w:val="tab"/>
      <w:pPr>
        <w:tabs>
          <w:tab w:pos="840" w:val="num"/>
        </w:tabs>
        <w:ind w:left="840" w:firstLine="-420"/>
        <w:spacing/>
      </w:pPr>
      <w:rPr>
        <w:rFonts w:ascii="Wingdings" w:hAnsi="Wingdings" w:eastAsia="Wingdings" w:cs="Wingdings"/>
      </w:rPr>
    </w:lvl>
    <w:lvl w:ilvl="2">
      <w:start w:val="1"/>
      <w:numFmt w:val="bullet"/>
      <w:lvlText w:val=""/>
      <w:suff w:val="tab"/>
      <w:pPr>
        <w:tabs>
          <w:tab w:pos="1260" w:val="num"/>
        </w:tabs>
        <w:ind w:left="1260" w:firstLine="-420"/>
        <w:spacing/>
      </w:pPr>
      <w:rPr>
        <w:rFonts w:ascii="Wingdings" w:hAnsi="Wingdings" w:eastAsia="Wingdings" w:cs="Wingdings"/>
      </w:rPr>
    </w:lvl>
    <w:lvl w:ilvl="3">
      <w:start w:val="1"/>
      <w:numFmt w:val="bullet"/>
      <w:lvlText w:val=""/>
      <w:suff w:val="tab"/>
      <w:pPr>
        <w:tabs>
          <w:tab w:pos="1680" w:val="num"/>
        </w:tabs>
        <w:ind w:left="1680" w:firstLine="-420"/>
        <w:spacing/>
      </w:pPr>
      <w:rPr>
        <w:rFonts w:ascii="Wingdings" w:hAnsi="Wingdings" w:eastAsia="Wingdings" w:cs="Wingdings"/>
      </w:rPr>
    </w:lvl>
    <w:lvl w:ilvl="4">
      <w:start w:val="1"/>
      <w:numFmt w:val="bullet"/>
      <w:lvlText w:val=""/>
      <w:suff w:val="tab"/>
      <w:pPr>
        <w:tabs>
          <w:tab w:pos="2100" w:val="num"/>
        </w:tabs>
        <w:ind w:left="2100" w:firstLine="-420"/>
        <w:spacing/>
      </w:pPr>
      <w:rPr>
        <w:rFonts w:ascii="Wingdings" w:hAnsi="Wingdings" w:eastAsia="Wingdings" w:cs="Wingdings"/>
      </w:rPr>
    </w:lvl>
    <w:lvl w:ilvl="5">
      <w:start w:val="1"/>
      <w:numFmt w:val="bullet"/>
      <w:lvlText w:val=""/>
      <w:suff w:val="tab"/>
      <w:pPr>
        <w:tabs>
          <w:tab w:pos="2520" w:val="num"/>
        </w:tabs>
        <w:ind w:left="2520" w:firstLine="-420"/>
        <w:spacing/>
      </w:pPr>
      <w:rPr>
        <w:rFonts w:ascii="Wingdings" w:hAnsi="Wingdings" w:eastAsia="Wingdings" w:cs="Wingdings"/>
      </w:rPr>
    </w:lvl>
    <w:lvl w:ilvl="6">
      <w:start w:val="1"/>
      <w:numFmt w:val="bullet"/>
      <w:lvlText w:val=""/>
      <w:suff w:val="tab"/>
      <w:pPr>
        <w:tabs>
          <w:tab w:pos="2940" w:val="num"/>
        </w:tabs>
        <w:ind w:left="2940" w:firstLine="-420"/>
        <w:spacing/>
      </w:pPr>
      <w:rPr>
        <w:rFonts w:ascii="Wingdings" w:hAnsi="Wingdings" w:eastAsia="Wingdings" w:cs="Wingdings"/>
      </w:rPr>
    </w:lvl>
    <w:lvl w:ilvl="7">
      <w:start w:val="1"/>
      <w:numFmt w:val="bullet"/>
      <w:lvlText w:val=""/>
      <w:suff w:val="tab"/>
      <w:pPr>
        <w:tabs>
          <w:tab w:pos="3360" w:val="num"/>
        </w:tabs>
        <w:ind w:left="3360" w:firstLine="-420"/>
        <w:spacing/>
      </w:pPr>
      <w:rPr>
        <w:rFonts w:ascii="Wingdings" w:hAnsi="Wingdings" w:eastAsia="Wingdings" w:cs="Wingdings"/>
      </w:rPr>
    </w:lvl>
    <w:lvl w:ilvl="8">
      <w:start w:val="1"/>
      <w:numFmt w:val="bullet"/>
      <w:lvlText w:val=""/>
      <w:suff w:val="tab"/>
      <w:pPr>
        <w:tabs>
          <w:tab w:pos="3780" w:val="num"/>
        </w:tabs>
        <w:ind w:left="3780" w:firstLine="-420"/>
        <w:spacing/>
      </w:pPr>
      <w:rPr>
        <w:rFonts w:ascii="Wingdings" w:hAnsi="Wingdings" w:eastAsia="Wingdings" w:cs="Wingdings"/>
      </w:rPr>
    </w:lvl>
  </w:abstractNum>
  <w:abstractNum w:abstractNumId="19">
    <w:lvl w:ilvl="0">
      <w:start w:val="1"/>
      <w:numFmt w:val="decimal"/>
      <w:lvlText w:val="%1."/>
      <w:suff w:val="tab"/>
      <w:pPr>
        <w:tabs>
          <w:tab w:pos="360" w:val="num"/>
        </w:tabs>
        <w:ind w:left="360" w:firstLine="-360"/>
        <w:spacing/>
      </w:pPr>
      <w:rPr/>
    </w:lvl>
    <w:lvl w:ilvl="1">
      <w:start w:val="1"/>
      <w:numFmt w:val="bullet"/>
      <w:lvlText w:val=""/>
      <w:suff w:val="tab"/>
      <w:pPr>
        <w:tabs>
          <w:tab w:pos="780" w:val="num"/>
        </w:tabs>
        <w:ind w:left="780" w:firstLine="-360"/>
        <w:spacing/>
      </w:pPr>
      <w:rPr>
        <w:rFonts w:ascii="Symbol" w:hAnsi="Symbol" w:eastAsia="Symbol" w:cs="Symbol"/>
      </w:rPr>
    </w:lvl>
    <w:lvl w:ilvl="2">
      <w:start w:val="1"/>
      <w:numFmt w:val="bullet"/>
      <w:lvlText w:val="%3"/>
      <w:suff w:val="tab"/>
      <w:pPr>
        <w:tabs>
          <w:tab w:pos="1260" w:val="num"/>
        </w:tabs>
        <w:ind w:left="1260" w:firstLine="-420"/>
        <w:spacing/>
      </w:pPr>
      <w:rPr/>
    </w:lvl>
    <w:lvl w:ilvl="3">
      <w:start w:val="1"/>
      <w:numFmt w:val="decimal"/>
      <w:lvlText w:val="%4."/>
      <w:suff w:val="tab"/>
      <w:pPr>
        <w:tabs>
          <w:tab w:pos="1680" w:val="num"/>
        </w:tabs>
        <w:ind w:left="1680" w:firstLine="-420"/>
        <w:spacing/>
      </w:pPr>
      <w:rPr/>
    </w:lvl>
    <w:lvl w:ilvl="4">
      <w:start w:val="1"/>
      <w:numFmt w:val="aiueoFullWidth"/>
      <w:lvlText w:val="(%5)"/>
      <w:suff w:val="tab"/>
      <w:pPr>
        <w:tabs>
          <w:tab w:pos="2100" w:val="num"/>
        </w:tabs>
        <w:ind w:left="2100" w:firstLine="-420"/>
        <w:spacing/>
      </w:pPr>
      <w:rPr/>
    </w:lvl>
    <w:lvl w:ilvl="5">
      <w:start w:val="1"/>
      <w:numFmt w:val="bullet"/>
      <w:lvlText w:val="%6"/>
      <w:suff w:val="tab"/>
      <w:pPr>
        <w:tabs>
          <w:tab w:pos="2520" w:val="num"/>
        </w:tabs>
        <w:ind w:left="2520" w:firstLine="-420"/>
        <w:spacing/>
      </w:pPr>
      <w:rPr/>
    </w:lvl>
    <w:lvl w:ilvl="6">
      <w:start w:val="1"/>
      <w:numFmt w:val="decimal"/>
      <w:lvlText w:val="%7."/>
      <w:suff w:val="tab"/>
      <w:pPr>
        <w:tabs>
          <w:tab w:pos="2940" w:val="num"/>
        </w:tabs>
        <w:ind w:left="2940" w:firstLine="-420"/>
        <w:spacing/>
      </w:pPr>
      <w:rPr/>
    </w:lvl>
    <w:lvl w:ilvl="7">
      <w:start w:val="1"/>
      <w:numFmt w:val="aiueoFullWidth"/>
      <w:lvlText w:val="(%8)"/>
      <w:suff w:val="tab"/>
      <w:pPr>
        <w:tabs>
          <w:tab w:pos="3360" w:val="num"/>
        </w:tabs>
        <w:ind w:left="3360" w:firstLine="-420"/>
        <w:spacing/>
      </w:pPr>
      <w:rPr/>
    </w:lvl>
    <w:lvl w:ilvl="8">
      <w:start w:val="1"/>
      <w:numFmt w:val="bullet"/>
      <w:lvlText w:val="%9"/>
      <w:suff w:val="tab"/>
      <w:pPr>
        <w:tabs>
          <w:tab w:pos="3780" w:val="num"/>
        </w:tabs>
        <w:ind w:left="3780" w:firstLine="-42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w="http://schemas.openxmlformats.org/wordprocessingml/2006/main">
  <w:zoom w:percent="100"/>
  <w:proofState w:grammar="clean" w:spelling="clean"/>
  <w:defaultTabStop w:val="84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Century" w:hAnsi="Century" w:eastAsia="MS Mincho" w:cs="Century"/>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jc w:val="both"/>
      <w:spacing/>
      <w:widowControl w:val="false"/>
    </w:pPr>
    <w:rPr>
      <w:sz w:val="21"/>
      <w:szCs w:val="24"/>
      <w:lang w:eastAsia="ja-JP"/>
    </w:rPr>
  </w:style>
  <w:style w:type="paragraph" w:styleId="Heading1">
    <w:name w:val="Heading 1"/>
    <w:qFormat/>
    <w:basedOn w:val="Normal"/>
    <w:pPr>
      <w:outlineLvl w:val="0"/>
      <w:keepNext/>
      <w:spacing/>
    </w:pPr>
    <w:rPr>
      <w:sz w:val="24"/>
      <w:rFonts w:ascii="Arial" w:hAnsi="Arial" w:eastAsia="Arial" w:cs="Arial"/>
      <w:b/>
      <w:bCs/>
    </w:rPr>
  </w:style>
  <w:style w:type="paragraph" w:styleId="Heading2">
    <w:name w:val="Heading 2"/>
    <w:qFormat/>
    <w:basedOn w:val="Normal"/>
    <w:link w:val="Heading2Char"/>
    <w:pPr>
      <w:outlineLvl w:val="1"/>
      <w:keepNext/>
      <w:spacing w:before="240" w:after="60"/>
    </w:pPr>
    <w:rPr>
      <w:sz w:val="28"/>
      <w:szCs w:val="28"/>
      <w:rFonts w:ascii="Cambria" w:hAnsi="Cambria" w:eastAsia="Times New Roman" w:cs="Cambria"/>
      <w:i/>
      <w:iCs/>
      <w:b/>
      <w:bCs/>
    </w:rPr>
  </w:style>
  <w:style w:type="paragraph" w:styleId="Heading4">
    <w:name w:val="Heading 4"/>
    <w:qFormat/>
    <w:basedOn w:val="Normal"/>
    <w:link w:val="Heading4Char"/>
    <w:pPr>
      <w:outlineLvl w:val="3"/>
      <w:keepNext/>
      <w:spacing w:before="240" w:after="60"/>
    </w:pPr>
    <w:rPr>
      <w:sz w:val="28"/>
      <w:szCs w:val="28"/>
      <w:rFonts w:ascii="Calibri" w:hAnsi="Calibri" w:eastAsia="Times New Roman" w:cs="Calibri"/>
      <w:b/>
      <w:bCs/>
    </w:rPr>
  </w:style>
  <w:style w:type="paragraph" w:styleId="Heading5">
    <w:name w:val="Heading 5"/>
    <w:qFormat/>
    <w:basedOn w:val="Normal"/>
    <w:link w:val="Heading5Char"/>
    <w:pPr>
      <w:outlineLvl w:val="4"/>
      <w:spacing w:before="240" w:after="60"/>
    </w:pPr>
    <w:rPr>
      <w:sz w:val="26"/>
      <w:szCs w:val="26"/>
      <w:rFonts w:ascii="Calibri" w:hAnsi="Calibri" w:eastAsia="Times New Roman" w:cs="Calibri"/>
      <w:i/>
      <w:iCs/>
      <w:b/>
      <w:bC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styleId="BodyText">
    <w:name w:val="Body Text"/>
    <w:basedOn w:val="Normal"/>
    <w:pPr>
      <w:spacing/>
    </w:pPr>
    <w:rPr>
      <w:sz w:val="24"/>
      <w:rFonts w:ascii="Arial" w:hAnsi="Arial" w:eastAsia="Arial" w:cs="Arial"/>
    </w:rPr>
  </w:style>
  <w:style w:type="character" w:custom="1" w:styleId="Heading2Char">
    <w:name w:val="Heading 2 Char"/>
    <w:basedOn w:val="DefaultParagraphFont"/>
    <w:link w:val="Heading2"/>
    <w:semiHidden/>
    <w:rPr>
      <w:sz w:val="28"/>
      <w:szCs w:val="28"/>
      <w:rFonts w:ascii="Cambria" w:hAnsi="Cambria" w:eastAsia="Times New Roman" w:cs="Cambria"/>
      <w:i/>
      <w:iCs/>
      <w:b/>
      <w:bCs/>
      <w:lang w:eastAsia="ja-JP"/>
    </w:rPr>
  </w:style>
  <w:style w:type="character" w:custom="1" w:styleId="Heading4Char">
    <w:name w:val="Heading 4 Char"/>
    <w:basedOn w:val="DefaultParagraphFont"/>
    <w:link w:val="Heading4"/>
    <w:semiHidden/>
    <w:rPr>
      <w:sz w:val="28"/>
      <w:szCs w:val="28"/>
      <w:rFonts w:ascii="Calibri" w:hAnsi="Calibri" w:eastAsia="Times New Roman" w:cs="Calibri"/>
      <w:b/>
      <w:bCs/>
      <w:lang w:eastAsia="ja-JP"/>
    </w:rPr>
  </w:style>
  <w:style w:type="character" w:custom="1" w:styleId="Heading5Char">
    <w:name w:val="Heading 5 Char"/>
    <w:basedOn w:val="DefaultParagraphFont"/>
    <w:link w:val="Heading5"/>
    <w:semiHidden/>
    <w:rPr>
      <w:sz w:val="26"/>
      <w:szCs w:val="26"/>
      <w:rFonts w:ascii="Calibri" w:hAnsi="Calibri" w:eastAsia="Times New Roman" w:cs="Calibri"/>
      <w:i/>
      <w:iCs/>
      <w:b/>
      <w:bCs/>
      <w:lang w:eastAsia="ja-JP"/>
    </w:rPr>
  </w:style>
  <w:style w:type="paragraph" w:styleId="BodyText2">
    <w:name w:val="Body Text 2"/>
    <w:basedOn w:val="Normal"/>
    <w:link w:val="BodyText2Char"/>
    <w:pPr>
      <w:spacing w:after="120" w:line="480" w:lineRule="auto"/>
    </w:pPr>
    <w:rPr/>
  </w:style>
  <w:style w:type="character" w:custom="1" w:styleId="BodyText2Char">
    <w:name w:val="Body Text 2 Char"/>
    <w:basedOn w:val="DefaultParagraphFont"/>
    <w:link w:val="BodyText2"/>
    <w:rPr>
      <w:sz w:val="21"/>
      <w:szCs w:val="24"/>
      <w:lang w:eastAsia="ja-JP"/>
    </w:rPr>
  </w:style>
  <w:style w:type="paragraph" w:styleId="Header">
    <w:name w:val="Header"/>
    <w:basedOn w:val="Normal"/>
    <w:link w:val="HeaderChar"/>
    <w:pPr>
      <w:tabs>
        <w:tab w:pos="4153" w:val="center"/>
        <w:tab w:pos="8306" w:val="right"/>
      </w:tabs>
      <w:jc w:val="left"/>
      <w:spacing/>
      <w:widowControl w:val="true"/>
    </w:pPr>
    <w:rPr>
      <w:sz w:val="20"/>
      <w:szCs w:val="20"/>
      <w:rFonts w:ascii="Times New Roman" w:hAnsi="Times New Roman" w:eastAsia="Times New Roman" w:cs="Times New Roman"/>
      <w:lang w:eastAsia="en-US"/>
    </w:rPr>
  </w:style>
  <w:style w:type="character" w:custom="1" w:styleId="HeaderChar">
    <w:name w:val="Header Char"/>
    <w:basedOn w:val="DefaultParagraphFont"/>
    <w:link w:val="Header"/>
    <w:rPr>
      <w:rFonts w:ascii="Times New Roman" w:hAnsi="Times New Roman" w:eastAsia="Times New Roman" w:cs="Times New Roman"/>
      <w:lang w:eastAsia="en-US"/>
    </w:rPr>
  </w:style>
  <w:style w:type="paragraph" w:styleId="DocumentMap">
    <w:name w:val="Document Map"/>
    <w:basedOn w:val="Normal"/>
    <w:semiHidden/>
    <w:pPr>
      <w:spacing/>
      <w:shd w:fill="000080" w:color="auto" w:val="clear"/>
    </w:pPr>
    <w:rPr>
      <w:sz w:val="20"/>
      <w:szCs w:val="20"/>
      <w:rFonts w:ascii="Tahoma" w:hAnsi="Tahoma" w:eastAsia="Tahoma" w:cs="Tahoma"/>
    </w:rPr>
  </w:style>
  <w:style w:type="paragraph" w:custom="1" w:styleId="ListParagraph">
    <w:name w:val="List Paragraph"/>
    <w:qFormat/>
    <w:basedOn w:val="Normal"/>
    <w:pPr>
      <w:ind w:left="720"/>
      <w:contextualSpacing/>
      <w:spacing/>
    </w:pPr>
    <w:rPr/>
  </w:style>
</w:styles>
</file>

<file path=word/_rels/document.xml.rels>&#65279;<?xml version="1.0" encoding="UTF-8" standalone="yes"?><Relationships xmlns="http://schemas.openxmlformats.org/package/2006/relationships"><Relationship Type="http://schemas.openxmlformats.org/officeDocument/2006/relationships/styles" Target="styles.xml" Id="rId4" /><Relationship Type="http://schemas.openxmlformats.org/officeDocument/2006/relationships/settings" Target="settings.xml" Id="rId5" /><Relationship Type="http://schemas.openxmlformats.org/officeDocument/2006/relationships/numbering" Target="numbering.xml" Id="rId6" /><Relationship Type="http://schemas.openxmlformats.org/officeDocument/2006/relationships/fontTable" Target="fontTable.xml" Id="rId7" /></Relationships>
</file>

<file path=docProps/app.xml><?xml version="1.0" encoding="utf-8"?>
<Properties xmlns:vt="http://schemas.openxmlformats.org/officeDocument/2006/docPropsVTypes" xmlns="http://schemas.openxmlformats.org/officeDocument/2006/extended-properties">
  <Template>CDDE075B.dotm</Template>
  <TotalTime>0</TotalTime>
  <Pages>5</Pages>
  <Words>796</Words>
  <Characters>4758</Characters>
  <Application>Microsoft Office Word</Application>
  <DocSecurity>0</DocSecurity>
  <Lines>39</Lines>
  <Paragraphs>11</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EC321 Course Outline 2014</dc:title>
  <dc:creator>Jessica Plumb</dc:creator>
  <cp:lastModifiedBy>Tom Purser</cp:lastModifiedBy>
  <cp:revision>2</cp:revision>
  <dcterms:created xsi:type="dcterms:W3CDTF">2014-05-20T10:33:00Z</dcterms:created>
  <dcterms:modified xsi:type="dcterms:W3CDTF">2015-03-09T17:02:44.77Z</dcterms:modified>
</cp:coreProperties>
</file>