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48BA4" w14:textId="77777777" w:rsidR="00742289" w:rsidRPr="00C620AD" w:rsidRDefault="00742289" w:rsidP="00742289">
      <w:pPr>
        <w:autoSpaceDE w:val="0"/>
        <w:autoSpaceDN w:val="0"/>
        <w:adjustRightInd w:val="0"/>
        <w:rPr>
          <w:rFonts w:ascii="Arial" w:eastAsia="Times New Roman" w:hAnsi="Arial" w:cs="Arial"/>
          <w:b/>
          <w:bCs/>
          <w:color w:val="111111"/>
          <w:lang w:eastAsia="en-GB"/>
        </w:rPr>
      </w:pPr>
      <w:r w:rsidRPr="00C620AD">
        <w:rPr>
          <w:rFonts w:ascii="Arial" w:eastAsia="Times New Roman" w:hAnsi="Arial" w:cs="Arial"/>
          <w:b/>
          <w:bCs/>
          <w:color w:val="111111"/>
          <w:lang w:eastAsia="en-GB"/>
        </w:rPr>
        <w:t>LSE Statement on the Responsible Use of Citation Metrics 2016</w:t>
      </w:r>
    </w:p>
    <w:p w14:paraId="6ABE11E1" w14:textId="77777777" w:rsidR="00742289" w:rsidRPr="00C620AD" w:rsidRDefault="00742289" w:rsidP="00742289">
      <w:pPr>
        <w:autoSpaceDE w:val="0"/>
        <w:autoSpaceDN w:val="0"/>
        <w:adjustRightInd w:val="0"/>
        <w:rPr>
          <w:rFonts w:ascii="Arial" w:eastAsia="Times New Roman" w:hAnsi="Arial" w:cs="Arial"/>
          <w:b/>
          <w:bCs/>
          <w:color w:val="111111"/>
          <w:lang w:eastAsia="en-GB"/>
        </w:rPr>
      </w:pPr>
    </w:p>
    <w:p w14:paraId="18C0D5F5" w14:textId="77777777" w:rsidR="00742289" w:rsidRPr="00C620AD" w:rsidRDefault="00742289" w:rsidP="00742289">
      <w:pPr>
        <w:autoSpaceDE w:val="0"/>
        <w:autoSpaceDN w:val="0"/>
        <w:adjustRightInd w:val="0"/>
        <w:rPr>
          <w:rFonts w:ascii="Arial" w:eastAsia="Times New Roman" w:hAnsi="Arial" w:cs="Arial"/>
          <w:bCs/>
          <w:color w:val="111111"/>
          <w:lang w:eastAsia="en-GB"/>
        </w:rPr>
      </w:pPr>
      <w:r w:rsidRPr="00C620AD">
        <w:rPr>
          <w:rFonts w:ascii="Arial" w:eastAsia="Times New Roman" w:hAnsi="Arial" w:cs="Arial"/>
          <w:bCs/>
          <w:color w:val="111111"/>
          <w:lang w:eastAsia="en-GB"/>
        </w:rPr>
        <w:t>The LSE adopts the following principles on the use of citation metrics to assess research publications</w:t>
      </w:r>
      <w:r>
        <w:rPr>
          <w:rFonts w:ascii="Arial" w:eastAsia="Times New Roman" w:hAnsi="Arial" w:cs="Arial"/>
          <w:bCs/>
          <w:color w:val="111111"/>
          <w:lang w:eastAsia="en-GB"/>
        </w:rPr>
        <w:t>:</w:t>
      </w:r>
    </w:p>
    <w:p w14:paraId="38DCDD17" w14:textId="77777777" w:rsidR="00742289" w:rsidRPr="00C620AD" w:rsidRDefault="00742289" w:rsidP="00742289">
      <w:pPr>
        <w:autoSpaceDE w:val="0"/>
        <w:autoSpaceDN w:val="0"/>
        <w:adjustRightInd w:val="0"/>
        <w:rPr>
          <w:rFonts w:ascii="Arial" w:eastAsia="Times New Roman" w:hAnsi="Arial" w:cs="Arial"/>
          <w:bCs/>
          <w:color w:val="111111"/>
          <w:lang w:eastAsia="en-GB"/>
        </w:rPr>
      </w:pPr>
    </w:p>
    <w:p w14:paraId="0C1A80F8" w14:textId="77777777" w:rsidR="00742289" w:rsidRPr="00C620AD" w:rsidRDefault="00742289" w:rsidP="00742289">
      <w:pPr>
        <w:autoSpaceDE w:val="0"/>
        <w:autoSpaceDN w:val="0"/>
        <w:adjustRightInd w:val="0"/>
        <w:rPr>
          <w:rFonts w:ascii="Arial" w:hAnsi="Arial" w:cs="Arial"/>
          <w:b/>
          <w:i/>
        </w:rPr>
      </w:pPr>
      <w:r w:rsidRPr="00C620AD">
        <w:rPr>
          <w:rFonts w:ascii="Arial" w:eastAsia="Times New Roman" w:hAnsi="Arial" w:cs="Arial"/>
          <w:b/>
          <w:bCs/>
          <w:i/>
          <w:color w:val="111111"/>
          <w:lang w:eastAsia="en-GB"/>
        </w:rPr>
        <w:t>The Leiden Manifesto for Research Metrics (2015)</w:t>
      </w:r>
      <w:r w:rsidRPr="00C620AD">
        <w:rPr>
          <w:rStyle w:val="FootnoteReference"/>
          <w:rFonts w:ascii="Arial" w:eastAsia="Times New Roman" w:hAnsi="Arial" w:cs="Arial"/>
          <w:b/>
          <w:bCs/>
          <w:i/>
          <w:color w:val="111111"/>
          <w:lang w:eastAsia="en-GB"/>
        </w:rPr>
        <w:footnoteReference w:id="1"/>
      </w:r>
      <w:r w:rsidRPr="00C620AD">
        <w:rPr>
          <w:rFonts w:ascii="Arial" w:eastAsia="Times New Roman" w:hAnsi="Arial" w:cs="Arial"/>
          <w:b/>
          <w:bCs/>
          <w:i/>
          <w:color w:val="111111"/>
          <w:lang w:eastAsia="en-GB"/>
        </w:rPr>
        <w:t xml:space="preserve"> </w:t>
      </w:r>
    </w:p>
    <w:p w14:paraId="6FD253C0" w14:textId="77777777" w:rsidR="00742289" w:rsidRPr="00C620AD" w:rsidRDefault="00742289" w:rsidP="00742289">
      <w:pPr>
        <w:outlineLvl w:val="1"/>
        <w:rPr>
          <w:rFonts w:ascii="Arial" w:eastAsia="Times New Roman" w:hAnsi="Arial" w:cs="Arial"/>
          <w:b/>
          <w:bCs/>
          <w:i/>
          <w:color w:val="111111"/>
          <w:lang w:eastAsia="en-GB"/>
        </w:rPr>
      </w:pPr>
    </w:p>
    <w:p w14:paraId="72E3ECA6" w14:textId="77777777" w:rsidR="00742289" w:rsidRPr="00C620AD" w:rsidRDefault="00742289" w:rsidP="00742289">
      <w:pPr>
        <w:spacing w:after="396"/>
        <w:rPr>
          <w:rFonts w:ascii="Arial" w:eastAsia="Times New Roman" w:hAnsi="Arial" w:cs="Arial"/>
          <w:lang w:eastAsia="en-GB"/>
        </w:rPr>
      </w:pPr>
      <w:r w:rsidRPr="00C620AD">
        <w:rPr>
          <w:rFonts w:ascii="Arial" w:eastAsia="Times New Roman" w:hAnsi="Arial" w:cs="Arial"/>
          <w:bCs/>
          <w:lang w:eastAsia="en-GB"/>
        </w:rPr>
        <w:t>1. Quantitative evaluation should support qualitative, expert assessment.</w:t>
      </w:r>
      <w:r w:rsidRPr="00C620AD">
        <w:rPr>
          <w:rFonts w:ascii="Arial" w:eastAsia="Times New Roman" w:hAnsi="Arial" w:cs="Arial"/>
          <w:lang w:eastAsia="en-GB"/>
        </w:rPr>
        <w:t> Quantitative metrics can challenge bias tendencies in peer review and facilitate deliberation. This should strengthen peer review, because making judgements about colleagues is difficult without a range of relevant information. However, assessors must not be tempted to cede decision-making to the numbers. Indicators must not substitute for informed judgement. Everyone retains responsibility for their assessments.</w:t>
      </w:r>
    </w:p>
    <w:p w14:paraId="2CFA9EE8" w14:textId="77777777" w:rsidR="00742289" w:rsidRPr="00C620AD" w:rsidRDefault="00742289" w:rsidP="00742289">
      <w:pPr>
        <w:spacing w:after="396"/>
        <w:rPr>
          <w:rFonts w:ascii="Arial" w:eastAsia="Times New Roman" w:hAnsi="Arial" w:cs="Arial"/>
          <w:lang w:eastAsia="en-GB"/>
        </w:rPr>
      </w:pPr>
      <w:r w:rsidRPr="00C620AD">
        <w:rPr>
          <w:rFonts w:ascii="Arial" w:eastAsia="Times New Roman" w:hAnsi="Arial" w:cs="Arial"/>
          <w:bCs/>
          <w:lang w:eastAsia="en-GB"/>
        </w:rPr>
        <w:t>2. Measure performance against the research missions of the institution, group or researcher.</w:t>
      </w:r>
      <w:r w:rsidRPr="00C620AD">
        <w:rPr>
          <w:rFonts w:ascii="Arial" w:eastAsia="Times New Roman" w:hAnsi="Arial" w:cs="Arial"/>
          <w:lang w:eastAsia="en-GB"/>
        </w:rPr>
        <w:t> Programme goals should be stated at the start, and the indicators used to evaluate performance should relate clearly to those goals. The choice of indicators, and the ways in which they are used, should take into account the wider socio-economic and cultural contexts. Scientists have diverse research missions. Research that advances the frontiers of academic knowledge differs from research that is focused on delivering solutions to societal problems. Review may be based on merits relevant to policy, industry or the public rather than on academic ideas of excellence. No single evaluation model applies to all contexts.</w:t>
      </w:r>
    </w:p>
    <w:p w14:paraId="25AEF4D6" w14:textId="77777777" w:rsidR="00742289" w:rsidRPr="00C620AD" w:rsidRDefault="00742289" w:rsidP="00742289">
      <w:pPr>
        <w:rPr>
          <w:rFonts w:ascii="Arial" w:eastAsia="Times New Roman" w:hAnsi="Arial" w:cs="Arial"/>
          <w:lang w:eastAsia="en-GB"/>
        </w:rPr>
      </w:pPr>
      <w:r w:rsidRPr="00C620AD">
        <w:rPr>
          <w:rFonts w:ascii="Arial" w:eastAsia="Times New Roman" w:hAnsi="Arial" w:cs="Arial"/>
          <w:bCs/>
          <w:lang w:eastAsia="en-GB"/>
        </w:rPr>
        <w:t>3. Protect excellence in locally relevant research.</w:t>
      </w:r>
      <w:r w:rsidRPr="00C620AD">
        <w:rPr>
          <w:rFonts w:ascii="Arial" w:eastAsia="Times New Roman" w:hAnsi="Arial" w:cs="Arial"/>
          <w:lang w:eastAsia="en-GB"/>
        </w:rPr>
        <w:t> In many parts of the world, research excellence is equated with English-language publication. Spanish law, for example, states the desirability of Spanish scholars publishing in high-impact journals. The impact factor is calculated for journals indexed in the US-based and still mostly English-language Web of Science. These biases are particularly problematic in the social sciences and humanities, in which research is more regionally and nationally engaged. Many other fields have a national or regional dimension — for instance, HIV epidemiology in sub-Saharan Africa.</w:t>
      </w:r>
    </w:p>
    <w:p w14:paraId="43F38551" w14:textId="77777777" w:rsidR="00742289" w:rsidRDefault="00742289" w:rsidP="00742289">
      <w:pPr>
        <w:rPr>
          <w:rFonts w:ascii="Arial" w:eastAsia="Times New Roman" w:hAnsi="Arial" w:cs="Arial"/>
          <w:lang w:eastAsia="en-GB"/>
        </w:rPr>
      </w:pPr>
    </w:p>
    <w:p w14:paraId="704E4A84" w14:textId="77777777" w:rsidR="00742289" w:rsidRPr="00C620AD" w:rsidRDefault="00742289" w:rsidP="00742289">
      <w:pPr>
        <w:rPr>
          <w:rFonts w:ascii="Arial" w:eastAsia="Times New Roman" w:hAnsi="Arial" w:cs="Arial"/>
          <w:lang w:eastAsia="en-GB"/>
        </w:rPr>
      </w:pPr>
      <w:r w:rsidRPr="00C620AD">
        <w:rPr>
          <w:rFonts w:ascii="Arial" w:eastAsia="Times New Roman" w:hAnsi="Arial" w:cs="Arial"/>
          <w:lang w:eastAsia="en-GB"/>
        </w:rPr>
        <w:t>This pluralism and societal relevance tends to be suppressed to create papers of interest to the gatekeepers of high impact: English-language journals. The Spanish sociologists that are highly cited in the Web of Science have worked on abstract models or study US data. Lost is the specificity of sociologists in high-impact Spanish-language papers: topics such as local labour law, family health care for the elderly or immigrant employment</w:t>
      </w:r>
      <w:hyperlink r:id="rId8" w:anchor="b5" w:tooltip="López Piñeiro, C. &amp; Hicks, D. Res. Eval. 24, 78–89 (2015)." w:history="1">
        <w:r w:rsidRPr="00C620AD">
          <w:rPr>
            <w:rFonts w:ascii="Arial" w:eastAsia="Times New Roman" w:hAnsi="Arial" w:cs="Arial"/>
            <w:color w:val="5C7996"/>
            <w:u w:val="single"/>
            <w:vertAlign w:val="superscript"/>
            <w:lang w:eastAsia="en-GB"/>
          </w:rPr>
          <w:t>5</w:t>
        </w:r>
      </w:hyperlink>
      <w:r w:rsidRPr="00C620AD">
        <w:rPr>
          <w:rFonts w:ascii="Arial" w:eastAsia="Times New Roman" w:hAnsi="Arial" w:cs="Arial"/>
          <w:lang w:eastAsia="en-GB"/>
        </w:rPr>
        <w:t>. Metrics built on high-quality non-English literature would serve to identify and reward excellence in locally relevant research.</w:t>
      </w:r>
    </w:p>
    <w:p w14:paraId="068D9ED8" w14:textId="77777777" w:rsidR="00742289" w:rsidRDefault="00742289" w:rsidP="00742289">
      <w:pPr>
        <w:rPr>
          <w:rFonts w:ascii="Arial" w:eastAsia="Times New Roman" w:hAnsi="Arial" w:cs="Arial"/>
          <w:bCs/>
          <w:lang w:eastAsia="en-GB"/>
        </w:rPr>
      </w:pPr>
    </w:p>
    <w:p w14:paraId="021385BC" w14:textId="77777777" w:rsidR="00742289" w:rsidRPr="00C620AD" w:rsidRDefault="00742289" w:rsidP="00742289">
      <w:pPr>
        <w:rPr>
          <w:rFonts w:ascii="Arial" w:eastAsia="Times New Roman" w:hAnsi="Arial" w:cs="Arial"/>
          <w:lang w:eastAsia="en-GB"/>
        </w:rPr>
      </w:pPr>
      <w:r w:rsidRPr="00C620AD">
        <w:rPr>
          <w:rFonts w:ascii="Arial" w:eastAsia="Times New Roman" w:hAnsi="Arial" w:cs="Arial"/>
          <w:bCs/>
          <w:lang w:eastAsia="en-GB"/>
        </w:rPr>
        <w:lastRenderedPageBreak/>
        <w:t>4. Keep data collection and analytical processes open, transparent and simple.</w:t>
      </w:r>
      <w:r w:rsidRPr="00C620AD">
        <w:rPr>
          <w:rFonts w:ascii="Arial" w:eastAsia="Times New Roman" w:hAnsi="Arial" w:cs="Arial"/>
          <w:lang w:eastAsia="en-GB"/>
        </w:rPr>
        <w:t> The construction of the databases required for evaluation should follow clearly stated rules, set before the research has been completed. This was common practice among the academic and commercial groups that built bibliometric evaluation methodology over several decades. Those groups referenced protocols published in the peer-reviewed literature. This transparency enabled scrutiny. For example, in 2010, public debate on the technical properties of an important indicator used by one of our groups (the Centre for Science and Technology Studies at Leiden University in the Netherlands) led to a revision in the calculation of this indicator</w:t>
      </w:r>
      <w:hyperlink r:id="rId9" w:anchor="b6" w:tooltip="van Raan, A. F. J., van Leeuwen, T. N., Visser, M. S., van Eck, N. J. &amp; Waltman, L. J. Informetrics 4, 431–435 (2010)." w:history="1">
        <w:r w:rsidRPr="00C620AD">
          <w:rPr>
            <w:rFonts w:ascii="Arial" w:eastAsia="Times New Roman" w:hAnsi="Arial" w:cs="Arial"/>
            <w:color w:val="5C7996"/>
            <w:u w:val="single"/>
            <w:vertAlign w:val="superscript"/>
            <w:lang w:eastAsia="en-GB"/>
          </w:rPr>
          <w:t>6</w:t>
        </w:r>
      </w:hyperlink>
      <w:r w:rsidRPr="00C620AD">
        <w:rPr>
          <w:rFonts w:ascii="Arial" w:eastAsia="Times New Roman" w:hAnsi="Arial" w:cs="Arial"/>
          <w:lang w:eastAsia="en-GB"/>
        </w:rPr>
        <w:t>. Recent commercial entrants should be held to the same standards; no one should accept a black-box evaluation machine.</w:t>
      </w:r>
    </w:p>
    <w:p w14:paraId="41FE38CA" w14:textId="77777777" w:rsidR="00742289" w:rsidRDefault="00742289" w:rsidP="00742289">
      <w:pPr>
        <w:spacing w:after="396"/>
        <w:rPr>
          <w:rFonts w:ascii="Arial" w:eastAsia="Times New Roman" w:hAnsi="Arial" w:cs="Arial"/>
          <w:lang w:eastAsia="en-GB"/>
        </w:rPr>
      </w:pPr>
    </w:p>
    <w:p w14:paraId="50D57FC4" w14:textId="77777777" w:rsidR="00742289" w:rsidRPr="00C620AD" w:rsidRDefault="00742289" w:rsidP="00742289">
      <w:pPr>
        <w:spacing w:after="396"/>
        <w:rPr>
          <w:rFonts w:ascii="Arial" w:eastAsia="Times New Roman" w:hAnsi="Arial" w:cs="Arial"/>
          <w:lang w:eastAsia="en-GB"/>
        </w:rPr>
      </w:pPr>
      <w:r w:rsidRPr="00C620AD">
        <w:rPr>
          <w:rFonts w:ascii="Arial" w:eastAsia="Times New Roman" w:hAnsi="Arial" w:cs="Arial"/>
          <w:lang w:eastAsia="en-GB"/>
        </w:rPr>
        <w:t>Simplicity is a virtue in an indicator because it enhances transparency. But simplistic metrics can distort the record (see </w:t>
      </w:r>
      <w:hyperlink r:id="rId10" w:anchor="seven" w:history="1">
        <w:r w:rsidRPr="00C620AD">
          <w:rPr>
            <w:rFonts w:ascii="Arial" w:eastAsia="Times New Roman" w:hAnsi="Arial" w:cs="Arial"/>
            <w:color w:val="5C7996"/>
            <w:u w:val="single"/>
            <w:lang w:eastAsia="en-GB"/>
          </w:rPr>
          <w:t>principle 7</w:t>
        </w:r>
      </w:hyperlink>
      <w:r w:rsidRPr="00C620AD">
        <w:rPr>
          <w:rFonts w:ascii="Arial" w:eastAsia="Times New Roman" w:hAnsi="Arial" w:cs="Arial"/>
          <w:lang w:eastAsia="en-GB"/>
        </w:rPr>
        <w:t>). Evaluators must strive for balance — simple indicators true to the complexity of the research process.</w:t>
      </w:r>
    </w:p>
    <w:p w14:paraId="29935FA4" w14:textId="77777777" w:rsidR="00742289" w:rsidRPr="00C620AD" w:rsidRDefault="00742289" w:rsidP="00742289">
      <w:pPr>
        <w:spacing w:after="396"/>
        <w:rPr>
          <w:rFonts w:ascii="Arial" w:eastAsia="Times New Roman" w:hAnsi="Arial" w:cs="Arial"/>
          <w:lang w:eastAsia="en-GB"/>
        </w:rPr>
      </w:pPr>
      <w:r w:rsidRPr="00C620AD">
        <w:rPr>
          <w:rFonts w:ascii="Arial" w:eastAsia="Times New Roman" w:hAnsi="Arial" w:cs="Arial"/>
          <w:bCs/>
          <w:lang w:eastAsia="en-GB"/>
        </w:rPr>
        <w:t>5. Allow those evaluated to verify data and analysis.</w:t>
      </w:r>
      <w:r w:rsidRPr="00C620AD">
        <w:rPr>
          <w:rFonts w:ascii="Arial" w:eastAsia="Times New Roman" w:hAnsi="Arial" w:cs="Arial"/>
          <w:lang w:eastAsia="en-GB"/>
        </w:rPr>
        <w:t> To ensure data quality, all researchers included in bibliometric studies should be able to check that their outputs have been correctly identified. Everyone directing and managing evaluation processes should assure data accuracy, through self-verification or third-party audit. Universities could implement this in their research information systems and it should be a guiding principle in the selection of providers of these systems. Accurate, high-quality data take time and money to collate and process. Budget for it.</w:t>
      </w:r>
    </w:p>
    <w:p w14:paraId="15C8DD77" w14:textId="77777777" w:rsidR="00742289" w:rsidRPr="00C620AD" w:rsidRDefault="00742289" w:rsidP="00742289">
      <w:pPr>
        <w:spacing w:after="396"/>
        <w:rPr>
          <w:rFonts w:ascii="Arial" w:eastAsia="Times New Roman" w:hAnsi="Arial" w:cs="Arial"/>
          <w:lang w:eastAsia="en-GB"/>
        </w:rPr>
      </w:pPr>
      <w:r w:rsidRPr="00C620AD">
        <w:rPr>
          <w:rFonts w:ascii="Arial" w:eastAsia="Times New Roman" w:hAnsi="Arial" w:cs="Arial"/>
          <w:bCs/>
          <w:lang w:eastAsia="en-GB"/>
        </w:rPr>
        <w:t>6. Account for variation by field in publication and citation practices.</w:t>
      </w:r>
      <w:r w:rsidRPr="00C620AD">
        <w:rPr>
          <w:rFonts w:ascii="Arial" w:eastAsia="Times New Roman" w:hAnsi="Arial" w:cs="Arial"/>
          <w:lang w:eastAsia="en-GB"/>
        </w:rPr>
        <w:t> Best practice is to select a suite of possible indicators and allow fields to choose among them. A few years ago, a European group of historians received a relatively low rating in a national peer-review assessment because they wrote books rather than articles in journals indexed by the Web of Science. The historians had the misfortune to be part of a psychology department. Historians and social scientists require books and national-language literature to be included in their publication counts; computer scientists require conference papers be counted.</w:t>
      </w:r>
    </w:p>
    <w:p w14:paraId="55E4CB43" w14:textId="77777777" w:rsidR="00742289" w:rsidRPr="00C620AD" w:rsidRDefault="00742289" w:rsidP="00742289">
      <w:pPr>
        <w:spacing w:after="396"/>
        <w:rPr>
          <w:rFonts w:ascii="Arial" w:eastAsia="Times New Roman" w:hAnsi="Arial" w:cs="Arial"/>
          <w:lang w:eastAsia="en-GB"/>
        </w:rPr>
      </w:pPr>
      <w:r w:rsidRPr="00C620AD">
        <w:rPr>
          <w:rFonts w:ascii="Arial" w:eastAsia="Times New Roman" w:hAnsi="Arial" w:cs="Arial"/>
          <w:lang w:eastAsia="en-GB"/>
        </w:rPr>
        <w:t>Citation rates vary by field: top-ranked journals in mathematics have impact factors of around 3; top-ranked journals in cell biology have impact factors of about 30. Normalized indicators are required, and the most robust normalization method is based on percentiles: each paper is weighted on the basis of the percentile to which it belongs in the citation distribution of its field (the top 1%, 10% or 20%, for example). A single highly cited publication slightly improves the position of a university in a ranking that is based on percentile indicators, but may propel the university from the middle to the top of a ranking built on citation averages</w:t>
      </w:r>
      <w:hyperlink r:id="rId11" w:anchor="b7" w:tooltip="Waltman, L. et al. J. Am. Soc. Inf. Sci. Technol. 63, 2419–2432 (2012)." w:history="1">
        <w:r w:rsidRPr="00C620AD">
          <w:rPr>
            <w:rFonts w:ascii="Arial" w:eastAsia="Times New Roman" w:hAnsi="Arial" w:cs="Arial"/>
            <w:color w:val="5C7996"/>
            <w:u w:val="single"/>
            <w:vertAlign w:val="superscript"/>
            <w:lang w:eastAsia="en-GB"/>
          </w:rPr>
          <w:t>7</w:t>
        </w:r>
      </w:hyperlink>
      <w:r w:rsidRPr="00C620AD">
        <w:rPr>
          <w:rFonts w:ascii="Arial" w:eastAsia="Times New Roman" w:hAnsi="Arial" w:cs="Arial"/>
          <w:lang w:eastAsia="en-GB"/>
        </w:rPr>
        <w:t>.</w:t>
      </w:r>
      <w:bookmarkStart w:id="0" w:name="seven"/>
      <w:bookmarkEnd w:id="0"/>
    </w:p>
    <w:p w14:paraId="4556A98C" w14:textId="77777777" w:rsidR="00742289" w:rsidRPr="00C620AD" w:rsidRDefault="00742289" w:rsidP="00742289">
      <w:pPr>
        <w:spacing w:after="396"/>
        <w:rPr>
          <w:rFonts w:ascii="Arial" w:eastAsia="Times New Roman" w:hAnsi="Arial" w:cs="Arial"/>
          <w:lang w:eastAsia="en-GB"/>
        </w:rPr>
      </w:pPr>
      <w:r w:rsidRPr="00C620AD">
        <w:rPr>
          <w:rFonts w:ascii="Arial" w:eastAsia="Times New Roman" w:hAnsi="Arial" w:cs="Arial"/>
          <w:bCs/>
          <w:lang w:eastAsia="en-GB"/>
        </w:rPr>
        <w:lastRenderedPageBreak/>
        <w:t xml:space="preserve">7. Base assessment of individual researchers on a qualitative judgement of their portfolio. </w:t>
      </w:r>
      <w:r w:rsidRPr="00C620AD">
        <w:rPr>
          <w:rFonts w:ascii="Arial" w:eastAsia="Times New Roman" w:hAnsi="Arial" w:cs="Arial"/>
          <w:lang w:eastAsia="en-GB"/>
        </w:rPr>
        <w:t>The older you are, the higher your </w:t>
      </w:r>
      <w:r w:rsidRPr="00C620AD">
        <w:rPr>
          <w:rFonts w:ascii="Arial" w:eastAsia="Times New Roman" w:hAnsi="Arial" w:cs="Arial"/>
          <w:i/>
          <w:iCs/>
          <w:lang w:eastAsia="en-GB"/>
        </w:rPr>
        <w:t>h</w:t>
      </w:r>
      <w:r w:rsidRPr="00C620AD">
        <w:rPr>
          <w:rFonts w:ascii="Arial" w:eastAsia="Times New Roman" w:hAnsi="Arial" w:cs="Arial"/>
          <w:lang w:eastAsia="en-GB"/>
        </w:rPr>
        <w:t>-index, even in the absence of new papers. The </w:t>
      </w:r>
      <w:r w:rsidRPr="00C620AD">
        <w:rPr>
          <w:rFonts w:ascii="Arial" w:eastAsia="Times New Roman" w:hAnsi="Arial" w:cs="Arial"/>
          <w:i/>
          <w:iCs/>
          <w:lang w:eastAsia="en-GB"/>
        </w:rPr>
        <w:t>h</w:t>
      </w:r>
      <w:r w:rsidRPr="00C620AD">
        <w:rPr>
          <w:rFonts w:ascii="Arial" w:eastAsia="Times New Roman" w:hAnsi="Arial" w:cs="Arial"/>
          <w:lang w:eastAsia="en-GB"/>
        </w:rPr>
        <w:t>-index varies by field: life scientists top out at 200; physicists at 100 and social scientists at 20–30. It is database dependent: there are researchers in computer science who have an </w:t>
      </w:r>
      <w:r w:rsidRPr="00C620AD">
        <w:rPr>
          <w:rFonts w:ascii="Arial" w:eastAsia="Times New Roman" w:hAnsi="Arial" w:cs="Arial"/>
          <w:i/>
          <w:iCs/>
          <w:lang w:eastAsia="en-GB"/>
        </w:rPr>
        <w:t>h</w:t>
      </w:r>
      <w:r w:rsidRPr="00C620AD">
        <w:rPr>
          <w:rFonts w:ascii="Arial" w:eastAsia="Times New Roman" w:hAnsi="Arial" w:cs="Arial"/>
          <w:lang w:eastAsia="en-GB"/>
        </w:rPr>
        <w:t>-index of around 10 in the Web of Science but of 20–30 in Google Scholar</w:t>
      </w:r>
      <w:hyperlink r:id="rId12" w:anchor="b9" w:tooltip="Bar-Ilan, J. Scientometrics 74, 257–271 (2008)." w:history="1">
        <w:r w:rsidRPr="00C620AD">
          <w:rPr>
            <w:rFonts w:ascii="Arial" w:eastAsia="Times New Roman" w:hAnsi="Arial" w:cs="Arial"/>
            <w:color w:val="5C7996"/>
            <w:u w:val="single"/>
            <w:vertAlign w:val="superscript"/>
            <w:lang w:eastAsia="en-GB"/>
          </w:rPr>
          <w:t>9</w:t>
        </w:r>
      </w:hyperlink>
      <w:r w:rsidRPr="00C620AD">
        <w:rPr>
          <w:rFonts w:ascii="Arial" w:eastAsia="Times New Roman" w:hAnsi="Arial" w:cs="Arial"/>
          <w:lang w:eastAsia="en-GB"/>
        </w:rPr>
        <w:t>. Reading and judging a researcher's work is much more appropriate than relying on one number. Even when comparing large numbers of researchers, an approach that considers more information about an individual's expertise, experience, activities and influence is best.</w:t>
      </w:r>
    </w:p>
    <w:p w14:paraId="28B34264" w14:textId="77777777" w:rsidR="00742289" w:rsidRPr="00C620AD" w:rsidRDefault="00742289" w:rsidP="00742289">
      <w:pPr>
        <w:spacing w:after="396"/>
        <w:rPr>
          <w:rFonts w:ascii="Arial" w:eastAsia="Times New Roman" w:hAnsi="Arial" w:cs="Arial"/>
          <w:lang w:eastAsia="en-GB"/>
        </w:rPr>
      </w:pPr>
      <w:r w:rsidRPr="00C620AD">
        <w:rPr>
          <w:rFonts w:ascii="Arial" w:eastAsia="Times New Roman" w:hAnsi="Arial" w:cs="Arial"/>
          <w:bCs/>
          <w:lang w:eastAsia="en-GB"/>
        </w:rPr>
        <w:t>8. Avoid misplaced concreteness and false precision.</w:t>
      </w:r>
      <w:r w:rsidRPr="00C620AD">
        <w:rPr>
          <w:rFonts w:ascii="Arial" w:eastAsia="Times New Roman" w:hAnsi="Arial" w:cs="Arial"/>
          <w:lang w:eastAsia="en-GB"/>
        </w:rPr>
        <w:t> Science and technology indicators are prone to conceptual ambiguity and uncertainty and require strong assumptions that are not universally accepted. The meaning of citation counts, for example, has long been debated. Thus, best practice uses multiple indicators to provide a more robust and pluralistic picture. If uncertainty and error can be quantified, for instance using error bars, this information should accompany published indicator values. If this is not possible, indicator producers should at least avoid false precision. For example, the journal impact factor is published to three decimal places to avoid ties. However, given the conceptual ambiguity and random variability of citation counts, it makes no sense to distinguish between journals on the basis of very small impact factor differences. Avoid false precision: only one decimal is warranted.</w:t>
      </w:r>
    </w:p>
    <w:p w14:paraId="0006CAB4" w14:textId="77777777" w:rsidR="00742289" w:rsidRPr="00C620AD" w:rsidRDefault="00742289" w:rsidP="00742289">
      <w:pPr>
        <w:spacing w:after="396"/>
        <w:rPr>
          <w:rFonts w:ascii="Arial" w:eastAsia="Times New Roman" w:hAnsi="Arial" w:cs="Arial"/>
          <w:lang w:eastAsia="en-GB"/>
        </w:rPr>
      </w:pPr>
      <w:r w:rsidRPr="00C620AD">
        <w:rPr>
          <w:rFonts w:ascii="Arial" w:eastAsia="Times New Roman" w:hAnsi="Arial" w:cs="Arial"/>
          <w:bCs/>
          <w:lang w:eastAsia="en-GB"/>
        </w:rPr>
        <w:t>9. Recognize the systemic effects of assessment and indicators.</w:t>
      </w:r>
      <w:r w:rsidRPr="00C620AD">
        <w:rPr>
          <w:rFonts w:ascii="Arial" w:eastAsia="Times New Roman" w:hAnsi="Arial" w:cs="Arial"/>
          <w:lang w:eastAsia="en-GB"/>
        </w:rPr>
        <w:t> Indicators change the system through the incentives they establish. These effects should be anticipated. This means that a suite of indicators is always preferable — a single one will invite gaming and goal displacement (in which the measurement becomes the goal). For example, in the 1990s, Australia funded university research using a formula based largely on the number of papers published by an institute. Universities could calculate the 'value' of a paper in a refereed journal; in 2000, it was Aus$800 (around US$480 in 2000) in research funding. Predictably, the number of papers published by Australian researchers went up, but they were in less-cited journals, suggesting that article quality fell.</w:t>
      </w:r>
    </w:p>
    <w:p w14:paraId="1F9AFCBC" w14:textId="77777777" w:rsidR="00742289" w:rsidRPr="00C620AD" w:rsidRDefault="00742289" w:rsidP="00742289">
      <w:pPr>
        <w:spacing w:after="396"/>
        <w:rPr>
          <w:rFonts w:ascii="Arial" w:eastAsia="Times New Roman" w:hAnsi="Arial" w:cs="Arial"/>
          <w:lang w:eastAsia="en-GB"/>
        </w:rPr>
      </w:pPr>
      <w:r w:rsidRPr="00C620AD">
        <w:rPr>
          <w:rFonts w:ascii="Arial" w:eastAsia="Times New Roman" w:hAnsi="Arial" w:cs="Arial"/>
          <w:bCs/>
          <w:lang w:eastAsia="en-GB"/>
        </w:rPr>
        <w:t>10. Scrutinize indicators regularly and update them.</w:t>
      </w:r>
      <w:r w:rsidRPr="00C620AD">
        <w:rPr>
          <w:rFonts w:ascii="Arial" w:eastAsia="Times New Roman" w:hAnsi="Arial" w:cs="Arial"/>
          <w:lang w:eastAsia="en-GB"/>
        </w:rPr>
        <w:t> Research missions and the goals of assessment shift and the research system itself co-evolves. Once-useful metrics become inadequate; new ones emerge. Indicator systems have to be reviewed and perhaps modified. Realizing the effects of its simplistic formula, Australia in 2010 introduced its more complex Excellence in Research for Australia initiative, which emphasizes quality.</w:t>
      </w:r>
    </w:p>
    <w:p w14:paraId="17DE8B9F" w14:textId="77777777" w:rsidR="00742289" w:rsidRPr="00C620AD" w:rsidRDefault="00742289" w:rsidP="00742289">
      <w:pPr>
        <w:autoSpaceDE w:val="0"/>
        <w:autoSpaceDN w:val="0"/>
        <w:adjustRightInd w:val="0"/>
        <w:rPr>
          <w:rFonts w:ascii="Arial" w:eastAsia="Times New Roman" w:hAnsi="Arial" w:cs="Arial"/>
          <w:b/>
          <w:bCs/>
          <w:i/>
          <w:color w:val="111111"/>
          <w:lang w:eastAsia="en-GB"/>
        </w:rPr>
      </w:pPr>
      <w:r w:rsidRPr="00C620AD">
        <w:rPr>
          <w:rFonts w:ascii="Arial" w:hAnsi="Arial" w:cs="Arial"/>
          <w:b/>
          <w:i/>
        </w:rPr>
        <w:t xml:space="preserve">It further adopts the two following principles from </w:t>
      </w:r>
      <w:r w:rsidRPr="00C620AD">
        <w:rPr>
          <w:rFonts w:ascii="Arial" w:eastAsia="Times New Roman" w:hAnsi="Arial" w:cs="Arial"/>
          <w:b/>
          <w:bCs/>
          <w:i/>
          <w:color w:val="111111"/>
          <w:lang w:eastAsia="en-GB"/>
        </w:rPr>
        <w:t>San Francisco Declaration on Research Assessment (2012).</w:t>
      </w:r>
    </w:p>
    <w:p w14:paraId="4F9F1346" w14:textId="77777777" w:rsidR="00742289" w:rsidRPr="00C620AD" w:rsidRDefault="00742289" w:rsidP="00742289">
      <w:pPr>
        <w:autoSpaceDE w:val="0"/>
        <w:autoSpaceDN w:val="0"/>
        <w:adjustRightInd w:val="0"/>
        <w:rPr>
          <w:rFonts w:ascii="Arial" w:hAnsi="Arial" w:cs="Arial"/>
        </w:rPr>
      </w:pPr>
      <w:r w:rsidRPr="00C620AD">
        <w:rPr>
          <w:rFonts w:ascii="Arial" w:eastAsia="Times New Roman" w:hAnsi="Arial" w:cs="Arial"/>
          <w:bCs/>
          <w:color w:val="111111"/>
          <w:lang w:eastAsia="en-GB"/>
        </w:rPr>
        <w:t xml:space="preserve"> </w:t>
      </w:r>
    </w:p>
    <w:p w14:paraId="24B34D55" w14:textId="77777777" w:rsidR="00742289" w:rsidRPr="00C620AD" w:rsidRDefault="00742289" w:rsidP="00742289">
      <w:pPr>
        <w:autoSpaceDE w:val="0"/>
        <w:autoSpaceDN w:val="0"/>
        <w:adjustRightInd w:val="0"/>
        <w:rPr>
          <w:rFonts w:ascii="Arial" w:hAnsi="Arial" w:cs="Arial"/>
        </w:rPr>
      </w:pPr>
      <w:r w:rsidRPr="00C620AD">
        <w:rPr>
          <w:rFonts w:ascii="Arial" w:hAnsi="Arial" w:cs="Arial"/>
        </w:rPr>
        <w:t xml:space="preserve">11.  </w:t>
      </w:r>
      <w:r w:rsidRPr="00C620AD">
        <w:rPr>
          <w:rFonts w:ascii="Arial" w:eastAsia="Times New Roman" w:hAnsi="Arial" w:cs="Arial"/>
          <w:color w:val="000000"/>
          <w:lang w:eastAsia="en-GB"/>
        </w:rPr>
        <w:t xml:space="preserve">Be explicit about the criteria used to reach hiring, tenure, and promotion decisions, clearly highlighting, especially for early-stage investigators, that the scientific content of a </w:t>
      </w:r>
      <w:r w:rsidRPr="00C620AD">
        <w:rPr>
          <w:rFonts w:ascii="Arial" w:eastAsia="Times New Roman" w:hAnsi="Arial" w:cs="Arial"/>
          <w:color w:val="000000"/>
          <w:lang w:eastAsia="en-GB"/>
        </w:rPr>
        <w:lastRenderedPageBreak/>
        <w:t>paper is much more important than publication metrics or the identity of the journal in which it was published.</w:t>
      </w:r>
    </w:p>
    <w:p w14:paraId="0DAA74BF" w14:textId="77777777" w:rsidR="00742289" w:rsidRPr="00C620AD" w:rsidRDefault="00742289" w:rsidP="00742289">
      <w:pPr>
        <w:spacing w:before="100" w:beforeAutospacing="1" w:after="100" w:afterAutospacing="1"/>
        <w:rPr>
          <w:rFonts w:ascii="Arial" w:eastAsia="Times New Roman" w:hAnsi="Arial" w:cs="Arial"/>
          <w:color w:val="000000"/>
          <w:lang w:eastAsia="en-GB"/>
        </w:rPr>
      </w:pPr>
      <w:r w:rsidRPr="00C620AD">
        <w:rPr>
          <w:rFonts w:ascii="Arial" w:eastAsia="Times New Roman" w:hAnsi="Arial" w:cs="Arial"/>
          <w:color w:val="000000"/>
          <w:lang w:eastAsia="en-GB"/>
        </w:rPr>
        <w:t>12.  For the purposes of research assessment, consider the value and impact of all</w:t>
      </w:r>
      <w:r w:rsidRPr="00C620AD">
        <w:rPr>
          <w:rFonts w:ascii="Arial" w:eastAsia="Times New Roman" w:hAnsi="Arial" w:cs="Arial"/>
          <w:color w:val="000000"/>
          <w:lang w:eastAsia="en-GB"/>
        </w:rPr>
        <w:br/>
        <w:t>research outputs (including datasets and software) in addition to research publications, and consider a broad range of impact measures including qualitative indicators of research impact, such as influence on policy and practice.   [Note that given the wide range of indicators that can be used to assess research impact that it is not possible to prescribe a comprehensive set of indicators].</w:t>
      </w:r>
    </w:p>
    <w:p w14:paraId="5F4D8612" w14:textId="77777777" w:rsidR="00742289" w:rsidRPr="00C620AD" w:rsidRDefault="00742289" w:rsidP="00742289">
      <w:pPr>
        <w:rPr>
          <w:rFonts w:ascii="Arial" w:hAnsi="Arial" w:cs="Arial"/>
        </w:rPr>
      </w:pPr>
    </w:p>
    <w:p w14:paraId="074E3AF8" w14:textId="55798E58" w:rsidR="00374213" w:rsidRDefault="00374213">
      <w:pPr>
        <w:rPr>
          <w:rFonts w:ascii="Arial" w:eastAsiaTheme="minorHAnsi" w:hAnsi="Arial" w:cs="Arial"/>
          <w:color w:val="000000" w:themeColor="text1"/>
          <w:sz w:val="21"/>
          <w:szCs w:val="21"/>
        </w:rPr>
      </w:pPr>
    </w:p>
    <w:p w14:paraId="064824CF" w14:textId="77777777" w:rsidR="000D730D" w:rsidRDefault="000D730D" w:rsidP="00BD0F95">
      <w:pPr>
        <w:pStyle w:val="LETTERBODY"/>
      </w:pPr>
    </w:p>
    <w:p w14:paraId="62C9FD78" w14:textId="11D3CAE8" w:rsidR="00F24E18" w:rsidRPr="009326C0" w:rsidRDefault="009326C0" w:rsidP="00B53C4B">
      <w:pPr>
        <w:pStyle w:val="TelephoneandEmail"/>
        <w:rPr>
          <w:b/>
          <w:sz w:val="24"/>
          <w:szCs w:val="24"/>
        </w:rPr>
      </w:pPr>
      <w:r w:rsidRPr="009326C0">
        <w:rPr>
          <w:b/>
          <w:sz w:val="24"/>
          <w:szCs w:val="24"/>
        </w:rPr>
        <w:t xml:space="preserve">Approved by Academic Board 25 </w:t>
      </w:r>
      <w:bookmarkStart w:id="1" w:name="_GoBack"/>
      <w:bookmarkEnd w:id="1"/>
      <w:r w:rsidRPr="009326C0">
        <w:rPr>
          <w:b/>
          <w:sz w:val="24"/>
          <w:szCs w:val="24"/>
        </w:rPr>
        <w:t>May 2016</w:t>
      </w:r>
    </w:p>
    <w:sectPr w:rsidR="00F24E18" w:rsidRPr="009326C0" w:rsidSect="006A7C0A">
      <w:headerReference w:type="default" r:id="rId13"/>
      <w:pgSz w:w="11900" w:h="16840"/>
      <w:pgMar w:top="3402"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FEB52" w14:textId="77777777" w:rsidR="00C033BC" w:rsidRDefault="00C033BC" w:rsidP="00085EE9">
      <w:r>
        <w:separator/>
      </w:r>
    </w:p>
  </w:endnote>
  <w:endnote w:type="continuationSeparator" w:id="0">
    <w:p w14:paraId="51B03358" w14:textId="77777777" w:rsidR="00C033BC" w:rsidRDefault="00C033BC" w:rsidP="0008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885B8" w14:textId="77777777" w:rsidR="00C033BC" w:rsidRDefault="00C033BC" w:rsidP="00085EE9">
      <w:r>
        <w:separator/>
      </w:r>
    </w:p>
  </w:footnote>
  <w:footnote w:type="continuationSeparator" w:id="0">
    <w:p w14:paraId="4FC6F387" w14:textId="77777777" w:rsidR="00C033BC" w:rsidRDefault="00C033BC" w:rsidP="00085EE9">
      <w:r>
        <w:continuationSeparator/>
      </w:r>
    </w:p>
  </w:footnote>
  <w:footnote w:id="1">
    <w:p w14:paraId="3C1D53B4" w14:textId="77777777" w:rsidR="00742289" w:rsidRDefault="00742289" w:rsidP="00742289">
      <w:pPr>
        <w:pStyle w:val="FootnoteText"/>
      </w:pPr>
      <w:r>
        <w:rPr>
          <w:rStyle w:val="FootnoteReference"/>
        </w:rPr>
        <w:footnoteRef/>
      </w:r>
      <w:r>
        <w:t xml:space="preserve"> </w:t>
      </w:r>
      <w:r w:rsidRPr="00A17FE9">
        <w:t>http://www.leidenmanifesto.org/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50E87" w14:textId="4D3B5FAB" w:rsidR="008B3A43" w:rsidRDefault="00085EE9">
    <w:pPr>
      <w:pStyle w:val="Header"/>
    </w:pPr>
    <w:r>
      <w:rPr>
        <w:noProof/>
        <w:lang w:eastAsia="en-GB"/>
      </w:rPr>
      <w:drawing>
        <wp:anchor distT="0" distB="0" distL="114300" distR="114300" simplePos="0" relativeHeight="251658240" behindDoc="0" locked="0" layoutInCell="1" allowOverlap="1" wp14:anchorId="77A61F47" wp14:editId="1E6B9F89">
          <wp:simplePos x="0" y="0"/>
          <wp:positionH relativeFrom="margin">
            <wp:posOffset>-189837</wp:posOffset>
          </wp:positionH>
          <wp:positionV relativeFrom="margin">
            <wp:posOffset>-1648460</wp:posOffset>
          </wp:positionV>
          <wp:extent cx="1905635" cy="645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Logo_Master File_CMYK_Txt_Blk.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5635" cy="645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98FA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63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805D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5E7D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86B2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CC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C6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0E9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8AC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482A9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E9"/>
    <w:rsid w:val="00085EE9"/>
    <w:rsid w:val="000974CD"/>
    <w:rsid w:val="000D17C1"/>
    <w:rsid w:val="000D730D"/>
    <w:rsid w:val="00112CC7"/>
    <w:rsid w:val="0017555C"/>
    <w:rsid w:val="001A7728"/>
    <w:rsid w:val="001B14C7"/>
    <w:rsid w:val="00204B8B"/>
    <w:rsid w:val="00235FFD"/>
    <w:rsid w:val="002364B2"/>
    <w:rsid w:val="00350E6E"/>
    <w:rsid w:val="00363AB4"/>
    <w:rsid w:val="003723BC"/>
    <w:rsid w:val="00374213"/>
    <w:rsid w:val="00386670"/>
    <w:rsid w:val="003B11EF"/>
    <w:rsid w:val="003F3843"/>
    <w:rsid w:val="00444525"/>
    <w:rsid w:val="004654D3"/>
    <w:rsid w:val="004D4A15"/>
    <w:rsid w:val="006273A3"/>
    <w:rsid w:val="0064337B"/>
    <w:rsid w:val="0066403D"/>
    <w:rsid w:val="00691849"/>
    <w:rsid w:val="00692B04"/>
    <w:rsid w:val="006A7C0A"/>
    <w:rsid w:val="006F3D53"/>
    <w:rsid w:val="00742289"/>
    <w:rsid w:val="007B5520"/>
    <w:rsid w:val="007D72AD"/>
    <w:rsid w:val="007E1B30"/>
    <w:rsid w:val="008216AB"/>
    <w:rsid w:val="00864033"/>
    <w:rsid w:val="008B3A43"/>
    <w:rsid w:val="008F71D0"/>
    <w:rsid w:val="00917825"/>
    <w:rsid w:val="009222F3"/>
    <w:rsid w:val="009326C0"/>
    <w:rsid w:val="009541E4"/>
    <w:rsid w:val="00994102"/>
    <w:rsid w:val="00996523"/>
    <w:rsid w:val="009A0328"/>
    <w:rsid w:val="00AE7358"/>
    <w:rsid w:val="00B53C4B"/>
    <w:rsid w:val="00B63909"/>
    <w:rsid w:val="00BD0F95"/>
    <w:rsid w:val="00C033BC"/>
    <w:rsid w:val="00C17537"/>
    <w:rsid w:val="00D355E0"/>
    <w:rsid w:val="00D6090C"/>
    <w:rsid w:val="00E86B47"/>
    <w:rsid w:val="00E97DFB"/>
    <w:rsid w:val="00F0422B"/>
    <w:rsid w:val="00F24E18"/>
    <w:rsid w:val="00F362E8"/>
    <w:rsid w:val="00F457F9"/>
    <w:rsid w:val="00F61B5F"/>
    <w:rsid w:val="00FA23A4"/>
    <w:rsid w:val="00FA624C"/>
    <w:rsid w:val="00FB2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4F7CA"/>
  <w14:defaultImageDpi w14:val="32767"/>
  <w15:docId w15:val="{92D7E4C1-A07D-994C-AEC1-6F6A0344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85EE9"/>
    <w:pPr>
      <w:autoSpaceDE w:val="0"/>
      <w:autoSpaceDN w:val="0"/>
      <w:adjustRightInd w:val="0"/>
      <w:spacing w:line="288" w:lineRule="auto"/>
      <w:textAlignment w:val="center"/>
    </w:pPr>
    <w:rPr>
      <w:rFonts w:ascii="Minion Pro" w:eastAsiaTheme="minorHAnsi" w:hAnsi="Minion Pro" w:cs="Minion Pro"/>
      <w:color w:val="000000"/>
    </w:rPr>
  </w:style>
  <w:style w:type="paragraph" w:styleId="BalloonText">
    <w:name w:val="Balloon Text"/>
    <w:basedOn w:val="Normal"/>
    <w:link w:val="BalloonTextChar"/>
    <w:uiPriority w:val="99"/>
    <w:semiHidden/>
    <w:unhideWhenUsed/>
    <w:rsid w:val="00AE73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358"/>
    <w:rPr>
      <w:rFonts w:ascii="Times New Roman" w:eastAsiaTheme="minorEastAsia" w:hAnsi="Times New Roman" w:cs="Times New Roman"/>
      <w:sz w:val="18"/>
      <w:szCs w:val="18"/>
    </w:rPr>
  </w:style>
  <w:style w:type="paragraph" w:customStyle="1" w:styleId="Footer1">
    <w:name w:val="Footer1"/>
    <w:qFormat/>
    <w:rsid w:val="00FB2D34"/>
    <w:pPr>
      <w:jc w:val="center"/>
    </w:pPr>
    <w:rPr>
      <w:rFonts w:ascii="Arial" w:hAnsi="Arial" w:cs="Arial"/>
      <w:bCs/>
      <w:color w:val="1A1918"/>
      <w:sz w:val="12"/>
      <w:szCs w:val="12"/>
    </w:rPr>
  </w:style>
  <w:style w:type="paragraph" w:customStyle="1" w:styleId="NAME">
    <w:name w:val="NAME"/>
    <w:basedOn w:val="BasicParagraph"/>
    <w:qFormat/>
    <w:rsid w:val="00BD0F95"/>
    <w:pPr>
      <w:suppressAutoHyphens/>
      <w:spacing w:before="850" w:after="57"/>
    </w:pPr>
    <w:rPr>
      <w:rFonts w:ascii="Arial" w:hAnsi="Arial" w:cs="Arial"/>
      <w:b/>
      <w:bCs/>
      <w:color w:val="1A1918"/>
      <w:sz w:val="21"/>
      <w:szCs w:val="21"/>
    </w:rPr>
  </w:style>
  <w:style w:type="paragraph" w:customStyle="1" w:styleId="Title1">
    <w:name w:val="Title1"/>
    <w:basedOn w:val="BasicParagraph"/>
    <w:qFormat/>
    <w:rsid w:val="00BD0F95"/>
    <w:pPr>
      <w:suppressAutoHyphens/>
      <w:spacing w:after="113"/>
    </w:pPr>
    <w:rPr>
      <w:rFonts w:ascii="Arial" w:hAnsi="Arial" w:cs="Arial"/>
      <w:b/>
      <w:bCs/>
      <w:color w:val="1A1918"/>
      <w:sz w:val="21"/>
      <w:szCs w:val="21"/>
    </w:rPr>
  </w:style>
  <w:style w:type="paragraph" w:customStyle="1" w:styleId="DEPARTMENTNAME">
    <w:name w:val="DEPARTMENT NAME"/>
    <w:basedOn w:val="Normal"/>
    <w:qFormat/>
    <w:rsid w:val="00BD0F95"/>
    <w:pPr>
      <w:suppressAutoHyphens/>
      <w:autoSpaceDE w:val="0"/>
      <w:autoSpaceDN w:val="0"/>
      <w:adjustRightInd w:val="0"/>
      <w:spacing w:before="57" w:after="113" w:line="260" w:lineRule="atLeast"/>
      <w:textAlignment w:val="center"/>
    </w:pPr>
    <w:rPr>
      <w:rFonts w:ascii="Arial" w:eastAsiaTheme="minorHAnsi" w:hAnsi="Arial" w:cs="Arial"/>
      <w:b/>
      <w:bCs/>
      <w:color w:val="1A1918"/>
      <w:sz w:val="22"/>
      <w:szCs w:val="22"/>
    </w:rPr>
  </w:style>
  <w:style w:type="paragraph" w:customStyle="1" w:styleId="TelephoneandEmail">
    <w:name w:val="Telephone and Email"/>
    <w:basedOn w:val="Normal"/>
    <w:qFormat/>
    <w:rsid w:val="006A7C0A"/>
    <w:pPr>
      <w:autoSpaceDE w:val="0"/>
      <w:autoSpaceDN w:val="0"/>
      <w:adjustRightInd w:val="0"/>
      <w:snapToGrid w:val="0"/>
      <w:spacing w:line="220" w:lineRule="atLeast"/>
      <w:contextualSpacing/>
      <w:textAlignment w:val="center"/>
    </w:pPr>
    <w:rPr>
      <w:rFonts w:ascii="Arial" w:eastAsiaTheme="minorHAnsi" w:hAnsi="Arial" w:cs="Arial"/>
      <w:color w:val="1A1918"/>
      <w:sz w:val="18"/>
      <w:szCs w:val="18"/>
    </w:rPr>
  </w:style>
  <w:style w:type="paragraph" w:customStyle="1" w:styleId="ADDRESS">
    <w:name w:val="ADDRESS"/>
    <w:basedOn w:val="Normal"/>
    <w:qFormat/>
    <w:rsid w:val="00D355E0"/>
    <w:pPr>
      <w:autoSpaceDE w:val="0"/>
      <w:autoSpaceDN w:val="0"/>
      <w:adjustRightInd w:val="0"/>
      <w:spacing w:after="142" w:line="220" w:lineRule="atLeast"/>
      <w:textAlignment w:val="center"/>
    </w:pPr>
    <w:rPr>
      <w:rFonts w:ascii="Arial" w:eastAsiaTheme="minorHAnsi" w:hAnsi="Arial" w:cs="Arial"/>
      <w:color w:val="1A1918"/>
      <w:sz w:val="18"/>
      <w:szCs w:val="18"/>
    </w:rPr>
  </w:style>
  <w:style w:type="paragraph" w:customStyle="1" w:styleId="URL">
    <w:name w:val="URL"/>
    <w:basedOn w:val="Normal"/>
    <w:qFormat/>
    <w:rsid w:val="008B3A43"/>
    <w:pPr>
      <w:autoSpaceDE w:val="0"/>
      <w:autoSpaceDN w:val="0"/>
      <w:adjustRightInd w:val="0"/>
      <w:spacing w:before="142" w:after="567" w:line="240" w:lineRule="exact"/>
      <w:textAlignment w:val="center"/>
    </w:pPr>
    <w:rPr>
      <w:rFonts w:ascii="Arial" w:eastAsiaTheme="minorHAnsi" w:hAnsi="Arial" w:cs="Arial"/>
      <w:b/>
      <w:bCs/>
      <w:color w:val="1A1918"/>
      <w:sz w:val="18"/>
      <w:szCs w:val="18"/>
    </w:rPr>
  </w:style>
  <w:style w:type="paragraph" w:customStyle="1" w:styleId="Date">
    <w:name w:val="Date:"/>
    <w:basedOn w:val="BasicParagraph"/>
    <w:qFormat/>
    <w:rsid w:val="008B3A43"/>
    <w:pPr>
      <w:suppressAutoHyphens/>
      <w:spacing w:line="220" w:lineRule="exact"/>
    </w:pPr>
    <w:rPr>
      <w:rFonts w:ascii="Arial" w:hAnsi="Arial" w:cs="Arial"/>
      <w:color w:val="1A1918"/>
      <w:sz w:val="18"/>
      <w:szCs w:val="18"/>
    </w:rPr>
  </w:style>
  <w:style w:type="paragraph" w:styleId="Header">
    <w:name w:val="header"/>
    <w:basedOn w:val="Normal"/>
    <w:link w:val="HeaderChar"/>
    <w:uiPriority w:val="99"/>
    <w:unhideWhenUsed/>
    <w:rsid w:val="008B3A43"/>
    <w:pPr>
      <w:tabs>
        <w:tab w:val="center" w:pos="4513"/>
        <w:tab w:val="right" w:pos="9026"/>
      </w:tabs>
    </w:pPr>
  </w:style>
  <w:style w:type="character" w:customStyle="1" w:styleId="HeaderChar">
    <w:name w:val="Header Char"/>
    <w:basedOn w:val="DefaultParagraphFont"/>
    <w:link w:val="Header"/>
    <w:uiPriority w:val="99"/>
    <w:rsid w:val="008B3A43"/>
    <w:rPr>
      <w:rFonts w:eastAsiaTheme="minorEastAsia"/>
    </w:rPr>
  </w:style>
  <w:style w:type="paragraph" w:styleId="Footer">
    <w:name w:val="footer"/>
    <w:basedOn w:val="Normal"/>
    <w:link w:val="FooterChar"/>
    <w:uiPriority w:val="99"/>
    <w:unhideWhenUsed/>
    <w:rsid w:val="008B3A43"/>
    <w:pPr>
      <w:tabs>
        <w:tab w:val="center" w:pos="4513"/>
        <w:tab w:val="right" w:pos="9026"/>
      </w:tabs>
    </w:pPr>
  </w:style>
  <w:style w:type="character" w:customStyle="1" w:styleId="FooterChar">
    <w:name w:val="Footer Char"/>
    <w:basedOn w:val="DefaultParagraphFont"/>
    <w:link w:val="Footer"/>
    <w:uiPriority w:val="99"/>
    <w:rsid w:val="008B3A43"/>
    <w:rPr>
      <w:rFonts w:eastAsiaTheme="minorEastAsia"/>
    </w:rPr>
  </w:style>
  <w:style w:type="paragraph" w:customStyle="1" w:styleId="LETTERBODY">
    <w:name w:val="LETTER BODY"/>
    <w:basedOn w:val="Normal"/>
    <w:qFormat/>
    <w:rsid w:val="00BD0F95"/>
    <w:pPr>
      <w:suppressAutoHyphens/>
      <w:autoSpaceDE w:val="0"/>
      <w:autoSpaceDN w:val="0"/>
      <w:adjustRightInd w:val="0"/>
      <w:spacing w:after="170" w:line="300" w:lineRule="atLeast"/>
      <w:textAlignment w:val="center"/>
    </w:pPr>
    <w:rPr>
      <w:rFonts w:ascii="Arial" w:eastAsiaTheme="minorHAnsi" w:hAnsi="Arial" w:cs="Arial"/>
      <w:color w:val="000000" w:themeColor="text1"/>
      <w:sz w:val="21"/>
      <w:szCs w:val="21"/>
    </w:rPr>
  </w:style>
  <w:style w:type="character" w:styleId="Hyperlink">
    <w:name w:val="Hyperlink"/>
    <w:basedOn w:val="DefaultParagraphFont"/>
    <w:uiPriority w:val="99"/>
    <w:unhideWhenUsed/>
    <w:rsid w:val="00F24E18"/>
    <w:rPr>
      <w:color w:val="0563C1" w:themeColor="hyperlink"/>
      <w:u w:val="single"/>
    </w:rPr>
  </w:style>
  <w:style w:type="paragraph" w:styleId="FootnoteText">
    <w:name w:val="footnote text"/>
    <w:basedOn w:val="Normal"/>
    <w:link w:val="FootnoteTextChar"/>
    <w:uiPriority w:val="99"/>
    <w:semiHidden/>
    <w:unhideWhenUsed/>
    <w:rsid w:val="00742289"/>
    <w:rPr>
      <w:rFonts w:eastAsiaTheme="minorHAnsi"/>
      <w:sz w:val="20"/>
      <w:szCs w:val="20"/>
    </w:rPr>
  </w:style>
  <w:style w:type="character" w:customStyle="1" w:styleId="FootnoteTextChar">
    <w:name w:val="Footnote Text Char"/>
    <w:basedOn w:val="DefaultParagraphFont"/>
    <w:link w:val="FootnoteText"/>
    <w:uiPriority w:val="99"/>
    <w:semiHidden/>
    <w:rsid w:val="00742289"/>
    <w:rPr>
      <w:sz w:val="20"/>
      <w:szCs w:val="20"/>
    </w:rPr>
  </w:style>
  <w:style w:type="character" w:styleId="FootnoteReference">
    <w:name w:val="footnote reference"/>
    <w:basedOn w:val="DefaultParagraphFont"/>
    <w:uiPriority w:val="99"/>
    <w:semiHidden/>
    <w:unhideWhenUsed/>
    <w:rsid w:val="00742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bibliometrics-the-leiden-manifesto-for-research-metrics-1.1735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e.com/news/bibliometrics-the-leiden-manifesto-for-research-metrics-1.173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news/bibliometrics-the-leiden-manifesto-for-research-metrics-1.173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ure.com/news/bibliometrics-the-leiden-manifesto-for-research-metrics-1.17351" TargetMode="External"/><Relationship Id="rId4" Type="http://schemas.openxmlformats.org/officeDocument/2006/relationships/settings" Target="settings.xml"/><Relationship Id="rId9" Type="http://schemas.openxmlformats.org/officeDocument/2006/relationships/hyperlink" Target="http://www.nature.com/news/bibliometrics-the-leiden-manifesto-for-research-metrics-1.1735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975C-64C1-4066-9196-F4F604FE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Capps-Jenner,NJ</dc:creator>
  <cp:lastModifiedBy>Graham1,N</cp:lastModifiedBy>
  <cp:revision>4</cp:revision>
  <cp:lastPrinted>2018-07-27T09:45:00Z</cp:lastPrinted>
  <dcterms:created xsi:type="dcterms:W3CDTF">2019-05-09T15:07:00Z</dcterms:created>
  <dcterms:modified xsi:type="dcterms:W3CDTF">2019-05-09T15:10:00Z</dcterms:modified>
</cp:coreProperties>
</file>