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354" w:rsidRPr="00722FB9" w:rsidRDefault="00103354" w:rsidP="005E10A2">
      <w:pPr>
        <w:spacing w:line="480" w:lineRule="auto"/>
        <w:jc w:val="center"/>
        <w:rPr>
          <w:rFonts w:cstheme="minorHAnsi"/>
          <w:sz w:val="24"/>
          <w:szCs w:val="24"/>
        </w:rPr>
      </w:pPr>
      <w:bookmarkStart w:id="0" w:name="_GoBack"/>
      <w:bookmarkEnd w:id="0"/>
      <w:r w:rsidRPr="00722FB9">
        <w:rPr>
          <w:rFonts w:cstheme="minorHAnsi"/>
          <w:sz w:val="24"/>
          <w:szCs w:val="24"/>
        </w:rPr>
        <w:t>SUSTAINABILITY OF THE COMMUNITY: RE-CONCEPTION AND MEASUREMENT</w:t>
      </w:r>
    </w:p>
    <w:p w:rsidR="00103354" w:rsidRPr="00722FB9" w:rsidRDefault="00103354" w:rsidP="005E10A2">
      <w:pPr>
        <w:spacing w:line="480" w:lineRule="auto"/>
        <w:jc w:val="both"/>
        <w:rPr>
          <w:rFonts w:cstheme="minorHAnsi"/>
          <w:sz w:val="24"/>
          <w:szCs w:val="24"/>
        </w:rPr>
      </w:pPr>
    </w:p>
    <w:p w:rsidR="00722FB9" w:rsidRPr="00722FB9" w:rsidRDefault="003D09DE" w:rsidP="005E10A2">
      <w:pPr>
        <w:spacing w:line="480" w:lineRule="auto"/>
        <w:jc w:val="both"/>
        <w:rPr>
          <w:rFonts w:cstheme="minorHAnsi"/>
          <w:b/>
          <w:sz w:val="24"/>
          <w:szCs w:val="24"/>
        </w:rPr>
      </w:pPr>
      <w:r w:rsidRPr="00722FB9">
        <w:rPr>
          <w:rFonts w:cstheme="minorHAnsi"/>
          <w:b/>
          <w:sz w:val="24"/>
          <w:szCs w:val="24"/>
        </w:rPr>
        <w:t>Ab</w:t>
      </w:r>
      <w:r w:rsidR="00533BCF" w:rsidRPr="00722FB9">
        <w:rPr>
          <w:rFonts w:cstheme="minorHAnsi"/>
          <w:b/>
          <w:sz w:val="24"/>
          <w:szCs w:val="24"/>
        </w:rPr>
        <w:t xml:space="preserve">stract </w:t>
      </w:r>
    </w:p>
    <w:p w:rsidR="00533BCF" w:rsidRPr="00722FB9" w:rsidRDefault="00533BCF" w:rsidP="005E10A2">
      <w:pPr>
        <w:spacing w:line="480" w:lineRule="auto"/>
        <w:jc w:val="both"/>
        <w:rPr>
          <w:rFonts w:cstheme="minorHAnsi"/>
          <w:sz w:val="24"/>
          <w:szCs w:val="24"/>
        </w:rPr>
      </w:pPr>
      <w:r w:rsidRPr="00722FB9">
        <w:rPr>
          <w:rFonts w:cstheme="minorHAnsi"/>
          <w:sz w:val="24"/>
          <w:szCs w:val="24"/>
        </w:rPr>
        <w:t>Having formulated the Community Spirit Index (CSI), this group research evaluates whether or not the homebuilding programme of the Olympic-related Stratford Metropolitan Masterplan (SMM) had an impact on the sustainability of the Greater Carpenters community. The regression analysis showed a correlation between past duration of residence and community spirit. There was no statistically significant relationship between community spirit and the area affected by the SMM, as compared to a control sample. The study recommends further research to ascertain the effect of the SMM on the sustainability of the Greater Carpenters community when the homebuilding programme is completed.</w:t>
      </w:r>
    </w:p>
    <w:p w:rsidR="00533BCF" w:rsidRPr="00722FB9" w:rsidRDefault="00533BCF" w:rsidP="005E10A2">
      <w:pPr>
        <w:spacing w:line="480" w:lineRule="auto"/>
        <w:jc w:val="both"/>
        <w:rPr>
          <w:rFonts w:cstheme="minorHAnsi"/>
          <w:sz w:val="24"/>
          <w:szCs w:val="24"/>
        </w:rPr>
      </w:pPr>
      <w:r w:rsidRPr="00722FB9">
        <w:rPr>
          <w:rFonts w:cstheme="minorHAnsi"/>
          <w:sz w:val="24"/>
          <w:szCs w:val="24"/>
        </w:rPr>
        <w:t>Community, sustainability, community spirit, Community Spirit Index (CSI)</w:t>
      </w:r>
    </w:p>
    <w:p w:rsidR="00533BCF" w:rsidRPr="00722FB9" w:rsidRDefault="00533BCF" w:rsidP="005E10A2">
      <w:pPr>
        <w:spacing w:line="480" w:lineRule="auto"/>
        <w:jc w:val="both"/>
        <w:rPr>
          <w:rFonts w:cstheme="minorHAnsi"/>
          <w:b/>
          <w:sz w:val="24"/>
          <w:szCs w:val="24"/>
        </w:rPr>
      </w:pPr>
    </w:p>
    <w:p w:rsidR="00BB0D7C" w:rsidRPr="00722FB9" w:rsidRDefault="00BB0D7C" w:rsidP="005E10A2">
      <w:pPr>
        <w:spacing w:line="480" w:lineRule="auto"/>
        <w:jc w:val="both"/>
        <w:rPr>
          <w:rFonts w:cstheme="minorHAnsi"/>
          <w:b/>
          <w:sz w:val="24"/>
          <w:szCs w:val="24"/>
        </w:rPr>
      </w:pPr>
      <w:r w:rsidRPr="00722FB9">
        <w:rPr>
          <w:rFonts w:cstheme="minorHAnsi"/>
          <w:b/>
          <w:sz w:val="24"/>
          <w:szCs w:val="24"/>
        </w:rPr>
        <w:t xml:space="preserve">Introduction </w:t>
      </w:r>
    </w:p>
    <w:p w:rsidR="00351A57" w:rsidRPr="00722FB9" w:rsidRDefault="00662E50" w:rsidP="005E10A2">
      <w:pPr>
        <w:spacing w:line="480" w:lineRule="auto"/>
        <w:ind w:firstLine="720"/>
        <w:jc w:val="both"/>
        <w:rPr>
          <w:rFonts w:cstheme="minorHAnsi"/>
          <w:sz w:val="24"/>
          <w:szCs w:val="24"/>
        </w:rPr>
      </w:pPr>
      <w:r w:rsidRPr="00722FB9">
        <w:rPr>
          <w:rFonts w:cstheme="minorHAnsi"/>
          <w:sz w:val="24"/>
          <w:szCs w:val="24"/>
        </w:rPr>
        <w:t xml:space="preserve">Previous disquisition on community sustainability invariably focuses on the relationship between a community and its environment. This paper wishes to explore the factors affecting the sustainability of the community itself. </w:t>
      </w:r>
      <w:r w:rsidR="002A0A05" w:rsidRPr="00722FB9">
        <w:rPr>
          <w:rFonts w:cstheme="minorHAnsi"/>
          <w:sz w:val="24"/>
          <w:szCs w:val="24"/>
        </w:rPr>
        <w:t xml:space="preserve">A group of persons constitutes a community if they live in the same neighbourhood and if there exists in this territory a sense of community spirit. Community spirit as understood in this paper </w:t>
      </w:r>
      <w:r w:rsidR="002A0A05" w:rsidRPr="00722FB9">
        <w:rPr>
          <w:rFonts w:cstheme="minorHAnsi"/>
          <w:sz w:val="24"/>
          <w:szCs w:val="24"/>
        </w:rPr>
        <w:lastRenderedPageBreak/>
        <w:t>is a subjective perception amongst people who share salient commonalities that they belong to the same entity and are prepared to act on this perception. This concept is key to the initial definition of sustainability of the community which was that a community is sustainable if its members report a high degree of community spirit and the ability of this community (</w:t>
      </w:r>
      <w:r w:rsidR="004A2C1B" w:rsidRPr="00722FB9">
        <w:rPr>
          <w:rFonts w:cstheme="minorHAnsi"/>
          <w:sz w:val="24"/>
          <w:szCs w:val="24"/>
        </w:rPr>
        <w:t xml:space="preserve">including </w:t>
      </w:r>
      <w:r w:rsidR="00971EF0" w:rsidRPr="00722FB9">
        <w:rPr>
          <w:rFonts w:cstheme="minorHAnsi"/>
          <w:sz w:val="24"/>
          <w:szCs w:val="24"/>
        </w:rPr>
        <w:t>possible descendants and newcomers</w:t>
      </w:r>
      <w:r w:rsidR="002A0A05" w:rsidRPr="00722FB9">
        <w:rPr>
          <w:rFonts w:cstheme="minorHAnsi"/>
          <w:sz w:val="24"/>
          <w:szCs w:val="24"/>
        </w:rPr>
        <w:t>)</w:t>
      </w:r>
      <w:r w:rsidR="00971EF0" w:rsidRPr="00722FB9">
        <w:rPr>
          <w:rFonts w:cstheme="minorHAnsi"/>
          <w:sz w:val="24"/>
          <w:szCs w:val="24"/>
        </w:rPr>
        <w:t xml:space="preserve"> to experience this community spirit to the same degree in the future is not compromised.</w:t>
      </w:r>
      <w:r w:rsidR="008D7703" w:rsidRPr="00722FB9">
        <w:rPr>
          <w:rFonts w:cstheme="minorHAnsi"/>
          <w:sz w:val="24"/>
          <w:szCs w:val="24"/>
        </w:rPr>
        <w:t xml:space="preserve"> </w:t>
      </w:r>
      <w:r w:rsidR="00813A39" w:rsidRPr="00722FB9">
        <w:rPr>
          <w:rFonts w:cstheme="minorHAnsi"/>
          <w:sz w:val="24"/>
          <w:szCs w:val="24"/>
        </w:rPr>
        <w:t xml:space="preserve">This paper </w:t>
      </w:r>
      <w:r w:rsidR="00AA2A58" w:rsidRPr="00722FB9">
        <w:rPr>
          <w:rFonts w:cstheme="minorHAnsi"/>
          <w:sz w:val="24"/>
          <w:szCs w:val="24"/>
        </w:rPr>
        <w:t>studies the effect of the local Olympic-related homebuilding programme called the Stratford Metropolitan Masterplan (SMM) on community spirit in</w:t>
      </w:r>
      <w:r w:rsidR="00813A39" w:rsidRPr="00722FB9">
        <w:rPr>
          <w:rFonts w:cstheme="minorHAnsi"/>
          <w:sz w:val="24"/>
          <w:szCs w:val="24"/>
        </w:rPr>
        <w:t xml:space="preserve"> Greater Carpenters</w:t>
      </w:r>
      <w:r w:rsidR="00F619AA" w:rsidRPr="00722FB9">
        <w:rPr>
          <w:rFonts w:cstheme="minorHAnsi"/>
          <w:sz w:val="24"/>
          <w:szCs w:val="24"/>
        </w:rPr>
        <w:t xml:space="preserve"> through the creation of a Community Spirit Index (CSI)</w:t>
      </w:r>
      <w:r w:rsidR="005D77D4" w:rsidRPr="00722FB9">
        <w:rPr>
          <w:rFonts w:cstheme="minorHAnsi"/>
          <w:sz w:val="24"/>
          <w:szCs w:val="24"/>
        </w:rPr>
        <w:t>. The</w:t>
      </w:r>
      <w:r w:rsidR="00813A39" w:rsidRPr="00722FB9">
        <w:rPr>
          <w:rFonts w:cstheme="minorHAnsi"/>
          <w:sz w:val="24"/>
          <w:szCs w:val="24"/>
        </w:rPr>
        <w:t xml:space="preserve"> regression analysis </w:t>
      </w:r>
      <w:r w:rsidR="005D77D4" w:rsidRPr="00722FB9">
        <w:rPr>
          <w:rFonts w:cstheme="minorHAnsi"/>
          <w:sz w:val="24"/>
          <w:szCs w:val="24"/>
        </w:rPr>
        <w:t xml:space="preserve">is inconclusive in that respect, but it </w:t>
      </w:r>
      <w:r w:rsidR="00813A39" w:rsidRPr="00722FB9">
        <w:rPr>
          <w:rFonts w:cstheme="minorHAnsi"/>
          <w:sz w:val="24"/>
          <w:szCs w:val="24"/>
        </w:rPr>
        <w:t>shows that duration, meaning the average length of residence in a particular area, impacts on community spirit</w:t>
      </w:r>
      <w:r w:rsidR="008742F4" w:rsidRPr="00722FB9">
        <w:rPr>
          <w:rFonts w:cstheme="minorHAnsi"/>
          <w:sz w:val="24"/>
          <w:szCs w:val="24"/>
        </w:rPr>
        <w:t>.</w:t>
      </w:r>
      <w:r w:rsidR="00AA2A58" w:rsidRPr="00722FB9">
        <w:rPr>
          <w:rFonts w:cstheme="minorHAnsi"/>
          <w:sz w:val="24"/>
          <w:szCs w:val="24"/>
        </w:rPr>
        <w:t xml:space="preserve"> </w:t>
      </w:r>
      <w:r w:rsidR="000E27E1" w:rsidRPr="00722FB9">
        <w:rPr>
          <w:rFonts w:cstheme="minorHAnsi"/>
          <w:sz w:val="24"/>
          <w:szCs w:val="24"/>
        </w:rPr>
        <w:t>T</w:t>
      </w:r>
      <w:r w:rsidR="00351A57" w:rsidRPr="00722FB9">
        <w:rPr>
          <w:rFonts w:cstheme="minorHAnsi"/>
          <w:sz w:val="24"/>
          <w:szCs w:val="24"/>
        </w:rPr>
        <w:t>h</w:t>
      </w:r>
      <w:r w:rsidR="000E27E1" w:rsidRPr="00722FB9">
        <w:rPr>
          <w:rFonts w:cstheme="minorHAnsi"/>
          <w:sz w:val="24"/>
          <w:szCs w:val="24"/>
        </w:rPr>
        <w:t>is</w:t>
      </w:r>
      <w:r w:rsidR="00351A57" w:rsidRPr="00722FB9">
        <w:rPr>
          <w:rFonts w:cstheme="minorHAnsi"/>
          <w:sz w:val="24"/>
          <w:szCs w:val="24"/>
        </w:rPr>
        <w:t xml:space="preserve"> finding suggests that the SMM could undermine the community spirit in Greater Carpenters not only </w:t>
      </w:r>
      <w:r w:rsidR="008D7703" w:rsidRPr="00722FB9">
        <w:rPr>
          <w:rFonts w:cstheme="minorHAnsi"/>
          <w:sz w:val="24"/>
          <w:szCs w:val="24"/>
        </w:rPr>
        <w:t xml:space="preserve">because </w:t>
      </w:r>
      <w:r w:rsidR="00351A57" w:rsidRPr="00722FB9">
        <w:rPr>
          <w:rFonts w:cstheme="minorHAnsi"/>
          <w:sz w:val="24"/>
          <w:szCs w:val="24"/>
        </w:rPr>
        <w:t xml:space="preserve">community spirit </w:t>
      </w:r>
      <w:r w:rsidR="008D7703" w:rsidRPr="00722FB9">
        <w:rPr>
          <w:rFonts w:cstheme="minorHAnsi"/>
          <w:sz w:val="24"/>
          <w:szCs w:val="24"/>
        </w:rPr>
        <w:t xml:space="preserve">is </w:t>
      </w:r>
      <w:r w:rsidR="00351A57" w:rsidRPr="00722FB9">
        <w:rPr>
          <w:rFonts w:cstheme="minorHAnsi"/>
          <w:sz w:val="24"/>
          <w:szCs w:val="24"/>
        </w:rPr>
        <w:t>a requirement for a community, but more importantly because duration, and by extrapolation, continued residence, is also necessary for a community to be sustainable</w:t>
      </w:r>
      <w:r w:rsidR="000E27E1" w:rsidRPr="00722FB9">
        <w:rPr>
          <w:rFonts w:cstheme="minorHAnsi"/>
          <w:sz w:val="24"/>
          <w:szCs w:val="24"/>
        </w:rPr>
        <w:t xml:space="preserve"> and could be affected by the SMM</w:t>
      </w:r>
      <w:r w:rsidR="00351A57" w:rsidRPr="00722FB9">
        <w:rPr>
          <w:rFonts w:cstheme="minorHAnsi"/>
          <w:sz w:val="24"/>
          <w:szCs w:val="24"/>
        </w:rPr>
        <w:t>.</w:t>
      </w:r>
    </w:p>
    <w:p w:rsidR="008D7703" w:rsidRPr="00722FB9" w:rsidRDefault="008D7703" w:rsidP="005E10A2">
      <w:pPr>
        <w:spacing w:line="480" w:lineRule="auto"/>
        <w:jc w:val="both"/>
        <w:rPr>
          <w:rFonts w:cstheme="minorHAnsi"/>
          <w:sz w:val="24"/>
          <w:szCs w:val="24"/>
        </w:rPr>
      </w:pPr>
    </w:p>
    <w:p w:rsidR="00472AA7" w:rsidRPr="00722FB9" w:rsidRDefault="00472AA7" w:rsidP="005E10A2">
      <w:pPr>
        <w:spacing w:line="480" w:lineRule="auto"/>
        <w:jc w:val="both"/>
        <w:rPr>
          <w:rFonts w:cstheme="minorHAnsi"/>
          <w:b/>
          <w:sz w:val="24"/>
          <w:szCs w:val="24"/>
        </w:rPr>
      </w:pPr>
      <w:r w:rsidRPr="00722FB9">
        <w:rPr>
          <w:rFonts w:cstheme="minorHAnsi"/>
          <w:b/>
          <w:sz w:val="24"/>
          <w:szCs w:val="24"/>
        </w:rPr>
        <w:t>Literature Review</w:t>
      </w:r>
    </w:p>
    <w:p w:rsidR="00472AA7" w:rsidRPr="00722FB9" w:rsidRDefault="00472AA7" w:rsidP="005E10A2">
      <w:pPr>
        <w:spacing w:line="480" w:lineRule="auto"/>
        <w:ind w:firstLine="720"/>
        <w:jc w:val="both"/>
        <w:rPr>
          <w:rFonts w:cstheme="minorHAnsi"/>
          <w:sz w:val="24"/>
          <w:szCs w:val="24"/>
        </w:rPr>
      </w:pPr>
      <w:r w:rsidRPr="00722FB9">
        <w:rPr>
          <w:rFonts w:cstheme="minorHAnsi"/>
          <w:sz w:val="24"/>
          <w:szCs w:val="24"/>
        </w:rPr>
        <w:t xml:space="preserve">The ideal of ‘community’ has, since the early 1980s, gained considerable purchase on our public discourse (Dagger, 2009, p.304). The publication of four seminal works in that period (Macintyre, 1981; Sandel, 1982; Taylor, 1985; Walzer, 1983) signalled the re-assertion of community as a social and political value of the first </w:t>
      </w:r>
      <w:r w:rsidRPr="00722FB9">
        <w:rPr>
          <w:rFonts w:cstheme="minorHAnsi"/>
          <w:sz w:val="24"/>
          <w:szCs w:val="24"/>
        </w:rPr>
        <w:lastRenderedPageBreak/>
        <w:t xml:space="preserve">importance. The emergence of community as a salient political value has been mirrored by the increasing popularity of ‘sustainability’. This notion has become a central concern of academic research in many social sciences (Warburton, 1998, p.1). However, the paradigmatic interpretation of ‘community sustainability’ is an environmental one. Following in the lines of the Brundtland Report (WCED, 1987, p.8), most work on community sustainability takes it to be a feature of a community’s relationship with its natural environment (Roseland, 1998, p.14). Despite this tendency to conflate the notions of environmental sustainability and community sustainability, the idea of ‘sustainability’ remains sufficiently broad to allow for diverse strands of academic research to be pursued fruitfully into it. While the ultimate goal may well be the ‘harmonisation of cultural, economic, political and environmental’ conceptions of sustainability (Hoff, 1998, p.5), more detailed empirical study must first be directed individually towards these respective areas. In particular, the social sustainability of a community </w:t>
      </w:r>
      <w:r w:rsidRPr="00722FB9">
        <w:rPr>
          <w:rFonts w:cstheme="minorHAnsi"/>
          <w:i/>
          <w:sz w:val="24"/>
          <w:szCs w:val="24"/>
        </w:rPr>
        <w:t>qua</w:t>
      </w:r>
      <w:r w:rsidRPr="00722FB9">
        <w:rPr>
          <w:rFonts w:cstheme="minorHAnsi"/>
          <w:sz w:val="24"/>
          <w:szCs w:val="24"/>
        </w:rPr>
        <w:t xml:space="preserve"> particular group of persons living together with one another (as opposed to community </w:t>
      </w:r>
      <w:r w:rsidRPr="00722FB9">
        <w:rPr>
          <w:rFonts w:cstheme="minorHAnsi"/>
          <w:i/>
          <w:sz w:val="24"/>
          <w:szCs w:val="24"/>
        </w:rPr>
        <w:t>qua</w:t>
      </w:r>
      <w:r w:rsidRPr="00722FB9">
        <w:rPr>
          <w:rFonts w:cstheme="minorHAnsi"/>
          <w:sz w:val="24"/>
          <w:szCs w:val="24"/>
        </w:rPr>
        <w:t xml:space="preserve"> group of persons interacting with their environment in a particular way) ought to be subject to further examination. This conception of the sustainability of communities has gained some traction (Schumacher, 1973), yet remains largely inchoate. It seems that the role played by community-spirit in the sustainability of communities has not been given adequate attention. Our conception of community, grounded in our evaluation of the importance of community-spirit, will lead us to attempt to rectify this. </w:t>
      </w:r>
    </w:p>
    <w:p w:rsidR="00472AA7" w:rsidRPr="00722FB9" w:rsidRDefault="00472AA7" w:rsidP="005E10A2">
      <w:pPr>
        <w:spacing w:line="480" w:lineRule="auto"/>
        <w:jc w:val="both"/>
        <w:rPr>
          <w:rFonts w:cstheme="minorHAnsi"/>
          <w:sz w:val="24"/>
          <w:szCs w:val="24"/>
        </w:rPr>
      </w:pPr>
      <w:r w:rsidRPr="00722FB9">
        <w:rPr>
          <w:rFonts w:cstheme="minorHAnsi"/>
          <w:sz w:val="24"/>
          <w:szCs w:val="24"/>
        </w:rPr>
        <w:lastRenderedPageBreak/>
        <w:tab/>
        <w:t xml:space="preserve">Nevertheless, one area in which some research on the sustainability of communities (in the sense we are interested in) has been done is in the impact of Olympic Games on host cities; Helen Lenskyj’s analysis of the social effects of the Sydney 2000 Olympics is a classic example. Work in this field draws attention to the negative social impacts of hallmark events— i.e. ‘the Olympic effect’— on the sustainability of Olympic-affected communities. A common theme is that the house price changes that attend Olympic Games frequently force movement into and out of these communities (Ahlfeldt &amp; Maennig, 2008; Lenskyj, 2002). Although modern Olympics sell themselves as ‘once-in-a-lifetime opportunities’ for urban regeneration, evidence </w:t>
      </w:r>
      <w:r w:rsidRPr="00722FB9">
        <w:rPr>
          <w:rFonts w:cstheme="minorHAnsi"/>
          <w:iCs/>
          <w:sz w:val="24"/>
          <w:szCs w:val="24"/>
        </w:rPr>
        <w:t>from previous Games</w:t>
      </w:r>
      <w:r w:rsidR="005F4B7D" w:rsidRPr="00722FB9">
        <w:rPr>
          <w:rFonts w:cstheme="minorHAnsi"/>
          <w:sz w:val="24"/>
          <w:szCs w:val="24"/>
        </w:rPr>
        <w:t xml:space="preserve"> shows that in reality</w:t>
      </w:r>
      <w:r w:rsidRPr="00722FB9">
        <w:rPr>
          <w:rFonts w:cstheme="minorHAnsi"/>
          <w:sz w:val="24"/>
          <w:szCs w:val="24"/>
        </w:rPr>
        <w:t>,</w:t>
      </w:r>
      <w:r w:rsidR="005F4B7D" w:rsidRPr="00722FB9">
        <w:rPr>
          <w:rFonts w:cstheme="minorHAnsi"/>
          <w:sz w:val="24"/>
          <w:szCs w:val="24"/>
        </w:rPr>
        <w:t xml:space="preserve"> </w:t>
      </w:r>
      <w:r w:rsidRPr="00722FB9">
        <w:rPr>
          <w:rFonts w:cstheme="minorHAnsi"/>
          <w:sz w:val="24"/>
          <w:szCs w:val="24"/>
        </w:rPr>
        <w:t xml:space="preserve">these opportunities </w:t>
      </w:r>
      <w:r w:rsidRPr="00722FB9">
        <w:rPr>
          <w:rFonts w:cstheme="minorHAnsi"/>
          <w:iCs/>
          <w:sz w:val="24"/>
          <w:szCs w:val="24"/>
        </w:rPr>
        <w:t xml:space="preserve">often </w:t>
      </w:r>
      <w:r w:rsidRPr="00722FB9">
        <w:rPr>
          <w:rFonts w:cstheme="minorHAnsi"/>
          <w:sz w:val="24"/>
          <w:szCs w:val="24"/>
        </w:rPr>
        <w:t xml:space="preserve">come at the expense of undermining the sustainability of host communities (Coaffee, 2007, p.151). </w:t>
      </w:r>
      <w:r w:rsidRPr="00722FB9">
        <w:rPr>
          <w:rFonts w:cstheme="minorHAnsi"/>
          <w:iCs/>
          <w:sz w:val="24"/>
          <w:szCs w:val="24"/>
        </w:rPr>
        <w:t>In comparison to other host cities, London is unique in that it has launched its Legacy Body</w:t>
      </w:r>
      <w:r w:rsidRPr="00722FB9">
        <w:rPr>
          <w:rFonts w:cstheme="minorHAnsi"/>
          <w:i/>
          <w:iCs/>
          <w:sz w:val="24"/>
          <w:szCs w:val="24"/>
        </w:rPr>
        <w:t xml:space="preserve"> </w:t>
      </w:r>
      <w:r w:rsidRPr="00722FB9">
        <w:rPr>
          <w:rFonts w:cstheme="minorHAnsi"/>
          <w:iCs/>
          <w:sz w:val="24"/>
          <w:szCs w:val="24"/>
        </w:rPr>
        <w:t>several years before the Games, rather than after they have finished. A report by the E</w:t>
      </w:r>
      <w:r w:rsidR="00BA08E8" w:rsidRPr="00722FB9">
        <w:rPr>
          <w:rFonts w:cstheme="minorHAnsi"/>
          <w:iCs/>
          <w:sz w:val="24"/>
          <w:szCs w:val="24"/>
        </w:rPr>
        <w:t xml:space="preserve">conomic </w:t>
      </w:r>
      <w:r w:rsidRPr="00722FB9">
        <w:rPr>
          <w:rFonts w:cstheme="minorHAnsi"/>
          <w:iCs/>
          <w:sz w:val="24"/>
          <w:szCs w:val="24"/>
        </w:rPr>
        <w:t>D</w:t>
      </w:r>
      <w:r w:rsidR="00BA08E8" w:rsidRPr="00722FB9">
        <w:rPr>
          <w:rFonts w:cstheme="minorHAnsi"/>
          <w:iCs/>
          <w:sz w:val="24"/>
          <w:szCs w:val="24"/>
        </w:rPr>
        <w:t xml:space="preserve">evelopment, </w:t>
      </w:r>
      <w:r w:rsidRPr="00722FB9">
        <w:rPr>
          <w:rFonts w:cstheme="minorHAnsi"/>
          <w:iCs/>
          <w:sz w:val="24"/>
          <w:szCs w:val="24"/>
        </w:rPr>
        <w:t>C</w:t>
      </w:r>
      <w:r w:rsidR="00BA08E8" w:rsidRPr="00722FB9">
        <w:rPr>
          <w:rFonts w:cstheme="minorHAnsi"/>
          <w:iCs/>
          <w:sz w:val="24"/>
          <w:szCs w:val="24"/>
        </w:rPr>
        <w:t xml:space="preserve">ulture, </w:t>
      </w:r>
      <w:r w:rsidRPr="00722FB9">
        <w:rPr>
          <w:rFonts w:cstheme="minorHAnsi"/>
          <w:iCs/>
          <w:sz w:val="24"/>
          <w:szCs w:val="24"/>
        </w:rPr>
        <w:t>S</w:t>
      </w:r>
      <w:r w:rsidR="00BA08E8" w:rsidRPr="00722FB9">
        <w:rPr>
          <w:rFonts w:cstheme="minorHAnsi"/>
          <w:iCs/>
          <w:sz w:val="24"/>
          <w:szCs w:val="24"/>
        </w:rPr>
        <w:t xml:space="preserve">port and </w:t>
      </w:r>
      <w:r w:rsidRPr="00722FB9">
        <w:rPr>
          <w:rFonts w:cstheme="minorHAnsi"/>
          <w:iCs/>
          <w:sz w:val="24"/>
          <w:szCs w:val="24"/>
        </w:rPr>
        <w:t>T</w:t>
      </w:r>
      <w:r w:rsidR="00BA08E8" w:rsidRPr="00722FB9">
        <w:rPr>
          <w:rFonts w:cstheme="minorHAnsi"/>
          <w:iCs/>
          <w:sz w:val="24"/>
          <w:szCs w:val="24"/>
        </w:rPr>
        <w:t>ourism commitee</w:t>
      </w:r>
      <w:r w:rsidRPr="00722FB9">
        <w:rPr>
          <w:rFonts w:cstheme="minorHAnsi"/>
          <w:iCs/>
          <w:sz w:val="24"/>
          <w:szCs w:val="24"/>
        </w:rPr>
        <w:t xml:space="preserve"> in 2010 (EDCST, 2010) suggests that research has been done with the purpose of attempting to avoid the social ramifications felt in previous host cities.</w:t>
      </w:r>
      <w:r w:rsidRPr="00722FB9">
        <w:rPr>
          <w:rFonts w:cstheme="minorHAnsi"/>
          <w:i/>
          <w:iCs/>
          <w:sz w:val="24"/>
          <w:szCs w:val="24"/>
        </w:rPr>
        <w:t xml:space="preserve"> </w:t>
      </w:r>
      <w:r w:rsidRPr="00722FB9">
        <w:rPr>
          <w:rFonts w:cstheme="minorHAnsi"/>
          <w:sz w:val="24"/>
          <w:szCs w:val="24"/>
        </w:rPr>
        <w:t>In spite of this, the publicity surrounding the London 2012 Olympics appears to pay scant regard to this possibility. The Stratford Metropolitan Masterplan</w:t>
      </w:r>
      <w:r w:rsidR="008C3852" w:rsidRPr="00722FB9">
        <w:rPr>
          <w:rFonts w:cstheme="minorHAnsi"/>
          <w:sz w:val="24"/>
          <w:szCs w:val="24"/>
        </w:rPr>
        <w:t xml:space="preserve"> (SMM)</w:t>
      </w:r>
      <w:r w:rsidRPr="00722FB9">
        <w:rPr>
          <w:rFonts w:cstheme="minorHAnsi"/>
          <w:sz w:val="24"/>
          <w:szCs w:val="24"/>
        </w:rPr>
        <w:t>, for instance—a large-scale</w:t>
      </w:r>
      <w:r w:rsidR="000B3FFD" w:rsidRPr="00722FB9">
        <w:rPr>
          <w:rFonts w:cstheme="minorHAnsi"/>
          <w:sz w:val="24"/>
          <w:szCs w:val="24"/>
        </w:rPr>
        <w:t xml:space="preserve"> Olympi</w:t>
      </w:r>
      <w:r w:rsidR="002E09D7" w:rsidRPr="00722FB9">
        <w:rPr>
          <w:rFonts w:cstheme="minorHAnsi"/>
          <w:sz w:val="24"/>
          <w:szCs w:val="24"/>
        </w:rPr>
        <w:t>c</w:t>
      </w:r>
      <w:r w:rsidR="000B3FFD" w:rsidRPr="00722FB9">
        <w:rPr>
          <w:rFonts w:cstheme="minorHAnsi"/>
          <w:sz w:val="24"/>
          <w:szCs w:val="24"/>
        </w:rPr>
        <w:t>-related</w:t>
      </w:r>
      <w:r w:rsidRPr="00722FB9">
        <w:rPr>
          <w:rFonts w:cstheme="minorHAnsi"/>
          <w:sz w:val="24"/>
          <w:szCs w:val="24"/>
        </w:rPr>
        <w:t xml:space="preserve"> regeneration project in Stratford—advertises itself as providing ‘a blueprint for developments in Stratford that will make a real positive difference to local people’ (Wales, 2010). Our concern is whether or </w:t>
      </w:r>
      <w:r w:rsidR="008C3852" w:rsidRPr="00722FB9">
        <w:rPr>
          <w:rFonts w:cstheme="minorHAnsi"/>
          <w:sz w:val="24"/>
          <w:szCs w:val="24"/>
        </w:rPr>
        <w:t>not the SMM</w:t>
      </w:r>
      <w:r w:rsidRPr="00722FB9">
        <w:rPr>
          <w:rFonts w:cstheme="minorHAnsi"/>
          <w:i/>
          <w:iCs/>
          <w:sz w:val="24"/>
          <w:szCs w:val="24"/>
        </w:rPr>
        <w:t xml:space="preserve"> </w:t>
      </w:r>
      <w:r w:rsidRPr="00722FB9">
        <w:rPr>
          <w:rFonts w:cstheme="minorHAnsi"/>
          <w:sz w:val="24"/>
          <w:szCs w:val="24"/>
        </w:rPr>
        <w:t>ha</w:t>
      </w:r>
      <w:r w:rsidR="008C3852" w:rsidRPr="00722FB9">
        <w:rPr>
          <w:rFonts w:cstheme="minorHAnsi"/>
          <w:sz w:val="24"/>
          <w:szCs w:val="24"/>
        </w:rPr>
        <w:t>s</w:t>
      </w:r>
      <w:r w:rsidRPr="00722FB9">
        <w:rPr>
          <w:rFonts w:cstheme="minorHAnsi"/>
          <w:sz w:val="24"/>
          <w:szCs w:val="24"/>
        </w:rPr>
        <w:t xml:space="preserve"> had </w:t>
      </w:r>
      <w:r w:rsidR="00AC61BC" w:rsidRPr="00722FB9">
        <w:rPr>
          <w:rFonts w:cstheme="minorHAnsi"/>
          <w:sz w:val="24"/>
          <w:szCs w:val="24"/>
        </w:rPr>
        <w:t>an effect on</w:t>
      </w:r>
      <w:r w:rsidRPr="00722FB9">
        <w:rPr>
          <w:rFonts w:cstheme="minorHAnsi"/>
          <w:sz w:val="24"/>
          <w:szCs w:val="24"/>
        </w:rPr>
        <w:t xml:space="preserve"> the sustainability of local host communities. </w:t>
      </w:r>
    </w:p>
    <w:p w:rsidR="00472AA7" w:rsidRPr="00722FB9" w:rsidRDefault="00472AA7" w:rsidP="005E10A2">
      <w:pPr>
        <w:spacing w:line="480" w:lineRule="auto"/>
        <w:jc w:val="both"/>
        <w:rPr>
          <w:rFonts w:cstheme="minorHAnsi"/>
          <w:sz w:val="24"/>
          <w:szCs w:val="24"/>
        </w:rPr>
      </w:pPr>
      <w:r w:rsidRPr="00722FB9">
        <w:rPr>
          <w:rFonts w:cstheme="minorHAnsi"/>
          <w:sz w:val="24"/>
          <w:szCs w:val="24"/>
        </w:rPr>
        <w:lastRenderedPageBreak/>
        <w:tab/>
        <w:t xml:space="preserve">The community spirit of East London has been well-documented. In an important survey, Anne Power and Katharine Mumford reported that the borough of Newham (of which Stratford is a district) has historically exhibited many of the classic signs of a lively ‘community spirit’ (Mumford and Power, 2003, p.37). Even colloquially, East London is renowned for its tradition of dynamic communities (Butler &amp; Rustin, 1996). This baseline sets up our own study nicely. In drawing on previous research into ‘community sustainability’, ‘the Olympic effect’ </w:t>
      </w:r>
      <w:r w:rsidRPr="00722FB9">
        <w:rPr>
          <w:rFonts w:cstheme="minorHAnsi"/>
          <w:iCs/>
          <w:sz w:val="24"/>
          <w:szCs w:val="24"/>
        </w:rPr>
        <w:t>with regard to house-building programmes</w:t>
      </w:r>
      <w:r w:rsidR="00380851" w:rsidRPr="00722FB9">
        <w:rPr>
          <w:rFonts w:cstheme="minorHAnsi"/>
          <w:sz w:val="24"/>
          <w:szCs w:val="24"/>
        </w:rPr>
        <w:t>,</w:t>
      </w:r>
      <w:r w:rsidRPr="00722FB9">
        <w:rPr>
          <w:rFonts w:cstheme="minorHAnsi"/>
          <w:sz w:val="24"/>
          <w:szCs w:val="24"/>
        </w:rPr>
        <w:t xml:space="preserve"> and East London communities, we can contribute to the debate by applying (and in many cases, further developing) these disparate ideas to the case of London 2012. </w:t>
      </w:r>
      <w:r w:rsidR="00872E25" w:rsidRPr="00722FB9">
        <w:rPr>
          <w:rFonts w:cstheme="minorHAnsi"/>
          <w:sz w:val="24"/>
          <w:szCs w:val="24"/>
        </w:rPr>
        <w:t>This paper</w:t>
      </w:r>
      <w:r w:rsidRPr="00722FB9">
        <w:rPr>
          <w:rFonts w:cstheme="minorHAnsi"/>
          <w:sz w:val="24"/>
          <w:szCs w:val="24"/>
        </w:rPr>
        <w:t xml:space="preserve"> thus explores new territory: how has the Olympic-related home-building programme in Stratford affected the sustainability of the local community?</w:t>
      </w:r>
    </w:p>
    <w:p w:rsidR="00472AA7" w:rsidRPr="00722FB9" w:rsidRDefault="00472AA7" w:rsidP="005E10A2">
      <w:pPr>
        <w:spacing w:after="0" w:line="480" w:lineRule="auto"/>
        <w:jc w:val="both"/>
        <w:rPr>
          <w:rFonts w:cstheme="minorHAnsi"/>
          <w:b/>
          <w:sz w:val="24"/>
          <w:szCs w:val="24"/>
        </w:rPr>
      </w:pPr>
      <w:r w:rsidRPr="00722FB9">
        <w:rPr>
          <w:rFonts w:cstheme="minorHAnsi"/>
          <w:b/>
          <w:sz w:val="24"/>
          <w:szCs w:val="24"/>
        </w:rPr>
        <w:t>Methodology</w:t>
      </w:r>
      <w:r w:rsidRPr="00722FB9">
        <w:rPr>
          <w:rFonts w:cstheme="minorHAnsi"/>
          <w:sz w:val="24"/>
          <w:szCs w:val="24"/>
        </w:rPr>
        <w:t xml:space="preserve"> </w:t>
      </w:r>
    </w:p>
    <w:p w:rsidR="00472AA7" w:rsidRPr="00722FB9" w:rsidRDefault="00472AA7" w:rsidP="005E10A2">
      <w:pPr>
        <w:autoSpaceDE w:val="0"/>
        <w:autoSpaceDN w:val="0"/>
        <w:adjustRightInd w:val="0"/>
        <w:spacing w:after="0" w:line="480" w:lineRule="auto"/>
        <w:jc w:val="both"/>
        <w:rPr>
          <w:rFonts w:cstheme="minorHAnsi"/>
          <w:sz w:val="24"/>
          <w:szCs w:val="24"/>
        </w:rPr>
      </w:pPr>
    </w:p>
    <w:p w:rsidR="00584198" w:rsidRPr="00722FB9" w:rsidRDefault="00584198" w:rsidP="005E10A2">
      <w:pPr>
        <w:autoSpaceDE w:val="0"/>
        <w:autoSpaceDN w:val="0"/>
        <w:adjustRightInd w:val="0"/>
        <w:spacing w:after="0" w:line="480" w:lineRule="auto"/>
        <w:jc w:val="both"/>
        <w:rPr>
          <w:rFonts w:cstheme="minorHAnsi"/>
          <w:i/>
          <w:sz w:val="24"/>
          <w:szCs w:val="24"/>
        </w:rPr>
      </w:pPr>
      <w:r w:rsidRPr="00722FB9">
        <w:rPr>
          <w:rFonts w:cstheme="minorHAnsi"/>
          <w:i/>
          <w:sz w:val="24"/>
          <w:szCs w:val="24"/>
        </w:rPr>
        <w:t>Questionnaire (See Appendix 1)</w:t>
      </w:r>
    </w:p>
    <w:p w:rsidR="00472AA7" w:rsidRPr="00722FB9" w:rsidRDefault="00472AA7" w:rsidP="005E10A2">
      <w:pPr>
        <w:autoSpaceDE w:val="0"/>
        <w:autoSpaceDN w:val="0"/>
        <w:adjustRightInd w:val="0"/>
        <w:spacing w:after="0" w:line="480" w:lineRule="auto"/>
        <w:ind w:firstLine="708"/>
        <w:jc w:val="both"/>
        <w:rPr>
          <w:rFonts w:cstheme="minorHAnsi"/>
          <w:i/>
          <w:sz w:val="24"/>
          <w:szCs w:val="24"/>
        </w:rPr>
      </w:pPr>
    </w:p>
    <w:p w:rsidR="00472AA7" w:rsidRPr="00722FB9" w:rsidRDefault="00472AA7" w:rsidP="005E10A2">
      <w:pPr>
        <w:autoSpaceDE w:val="0"/>
        <w:autoSpaceDN w:val="0"/>
        <w:adjustRightInd w:val="0"/>
        <w:spacing w:after="0" w:line="480" w:lineRule="auto"/>
        <w:ind w:firstLine="708"/>
        <w:jc w:val="both"/>
        <w:rPr>
          <w:rFonts w:cstheme="minorHAnsi"/>
          <w:sz w:val="24"/>
          <w:szCs w:val="24"/>
        </w:rPr>
      </w:pPr>
      <w:r w:rsidRPr="00722FB9">
        <w:rPr>
          <w:rFonts w:cstheme="minorHAnsi"/>
          <w:sz w:val="24"/>
          <w:szCs w:val="24"/>
        </w:rPr>
        <w:t>In order to measure the community spirit, the Community Spirit Index (CSI) was created. It is based on thre</w:t>
      </w:r>
      <w:r w:rsidR="00274179" w:rsidRPr="00722FB9">
        <w:rPr>
          <w:rFonts w:cstheme="minorHAnsi"/>
          <w:sz w:val="24"/>
          <w:szCs w:val="24"/>
        </w:rPr>
        <w:t>e dimensions of the concept of community s</w:t>
      </w:r>
      <w:r w:rsidRPr="00722FB9">
        <w:rPr>
          <w:rFonts w:cstheme="minorHAnsi"/>
          <w:sz w:val="24"/>
          <w:szCs w:val="24"/>
        </w:rPr>
        <w:t xml:space="preserve">pirit, namely, degree of acquaintance, informal help, and community activity participation, and it consists of four rating-scale questions. The score of each </w:t>
      </w:r>
      <w:r w:rsidR="00FE473F" w:rsidRPr="00722FB9">
        <w:rPr>
          <w:rFonts w:cstheme="minorHAnsi"/>
          <w:sz w:val="24"/>
          <w:szCs w:val="24"/>
        </w:rPr>
        <w:t>question</w:t>
      </w:r>
      <w:r w:rsidRPr="00722FB9">
        <w:rPr>
          <w:rFonts w:cstheme="minorHAnsi"/>
          <w:sz w:val="24"/>
          <w:szCs w:val="24"/>
        </w:rPr>
        <w:t xml:space="preserve"> was </w:t>
      </w:r>
      <w:r w:rsidR="00FE473F" w:rsidRPr="00722FB9">
        <w:rPr>
          <w:rFonts w:cstheme="minorHAnsi"/>
          <w:sz w:val="24"/>
          <w:szCs w:val="24"/>
        </w:rPr>
        <w:t>added to give a</w:t>
      </w:r>
      <w:r w:rsidRPr="00722FB9">
        <w:rPr>
          <w:rFonts w:cstheme="minorHAnsi"/>
          <w:sz w:val="24"/>
          <w:szCs w:val="24"/>
        </w:rPr>
        <w:t xml:space="preserve"> measure of community spirit. The CSI is the only variable being investigated. A higher value of CSI shows a higher degree of community spirit. </w:t>
      </w:r>
      <w:r w:rsidR="006A6980" w:rsidRPr="00722FB9">
        <w:rPr>
          <w:rFonts w:cstheme="minorHAnsi"/>
          <w:sz w:val="24"/>
          <w:szCs w:val="24"/>
        </w:rPr>
        <w:t>If the community is able to experience the same degree of community spirit in the future</w:t>
      </w:r>
      <w:r w:rsidR="00250DC7" w:rsidRPr="00722FB9">
        <w:rPr>
          <w:rFonts w:cstheme="minorHAnsi"/>
          <w:sz w:val="24"/>
          <w:szCs w:val="24"/>
        </w:rPr>
        <w:t xml:space="preserve">, a higher degree of </w:t>
      </w:r>
      <w:r w:rsidR="00250DC7" w:rsidRPr="00722FB9">
        <w:rPr>
          <w:rFonts w:cstheme="minorHAnsi"/>
          <w:sz w:val="24"/>
          <w:szCs w:val="24"/>
        </w:rPr>
        <w:lastRenderedPageBreak/>
        <w:t>community spirit</w:t>
      </w:r>
      <w:r w:rsidRPr="00722FB9">
        <w:rPr>
          <w:rFonts w:cstheme="minorHAnsi"/>
          <w:sz w:val="24"/>
          <w:szCs w:val="24"/>
        </w:rPr>
        <w:t xml:space="preserve"> may lead to the inference that th</w:t>
      </w:r>
      <w:r w:rsidR="00250DC7" w:rsidRPr="00722FB9">
        <w:rPr>
          <w:rFonts w:cstheme="minorHAnsi"/>
          <w:sz w:val="24"/>
          <w:szCs w:val="24"/>
        </w:rPr>
        <w:t>e community is more sustainable (see intr</w:t>
      </w:r>
      <w:r w:rsidR="00EC546F" w:rsidRPr="00722FB9">
        <w:rPr>
          <w:rFonts w:cstheme="minorHAnsi"/>
          <w:sz w:val="24"/>
          <w:szCs w:val="24"/>
        </w:rPr>
        <w:t>o</w:t>
      </w:r>
      <w:r w:rsidR="00250DC7" w:rsidRPr="00722FB9">
        <w:rPr>
          <w:rFonts w:cstheme="minorHAnsi"/>
          <w:sz w:val="24"/>
          <w:szCs w:val="24"/>
        </w:rPr>
        <w:t>duction)</w:t>
      </w:r>
      <w:r w:rsidRPr="00722FB9">
        <w:rPr>
          <w:rFonts w:cstheme="minorHAnsi"/>
          <w:sz w:val="24"/>
          <w:szCs w:val="24"/>
        </w:rPr>
        <w:t xml:space="preserve">. </w:t>
      </w:r>
    </w:p>
    <w:p w:rsidR="00472AA7" w:rsidRPr="00722FB9" w:rsidRDefault="00472AA7" w:rsidP="005E10A2">
      <w:pPr>
        <w:autoSpaceDE w:val="0"/>
        <w:autoSpaceDN w:val="0"/>
        <w:adjustRightInd w:val="0"/>
        <w:spacing w:after="0" w:line="480" w:lineRule="auto"/>
        <w:ind w:firstLine="708"/>
        <w:jc w:val="both"/>
        <w:rPr>
          <w:rFonts w:cstheme="minorHAnsi"/>
          <w:sz w:val="24"/>
          <w:szCs w:val="24"/>
        </w:rPr>
      </w:pPr>
    </w:p>
    <w:p w:rsidR="00472AA7" w:rsidRPr="00722FB9" w:rsidRDefault="00472AA7" w:rsidP="005E10A2">
      <w:pPr>
        <w:autoSpaceDE w:val="0"/>
        <w:autoSpaceDN w:val="0"/>
        <w:adjustRightInd w:val="0"/>
        <w:spacing w:after="0" w:line="480" w:lineRule="auto"/>
        <w:ind w:firstLine="708"/>
        <w:jc w:val="both"/>
        <w:rPr>
          <w:rFonts w:cstheme="minorHAnsi"/>
          <w:sz w:val="24"/>
          <w:szCs w:val="24"/>
        </w:rPr>
      </w:pPr>
      <w:r w:rsidRPr="00722FB9">
        <w:rPr>
          <w:rFonts w:cstheme="minorHAnsi"/>
          <w:sz w:val="24"/>
          <w:szCs w:val="24"/>
        </w:rPr>
        <w:t>In investigating the sustainability of the community, different variables that could potentially affect the community spirit were considered. These included age, gender, ethnic groups, duration of residence and location</w:t>
      </w:r>
      <w:r w:rsidRPr="00722FB9">
        <w:rPr>
          <w:rFonts w:cstheme="minorHAnsi"/>
          <w:i/>
          <w:sz w:val="24"/>
          <w:szCs w:val="24"/>
        </w:rPr>
        <w:t xml:space="preserve">. </w:t>
      </w:r>
      <w:r w:rsidRPr="00722FB9">
        <w:rPr>
          <w:rFonts w:cstheme="minorHAnsi"/>
          <w:sz w:val="24"/>
          <w:szCs w:val="24"/>
        </w:rPr>
        <w:t xml:space="preserve">The variable </w:t>
      </w:r>
      <w:r w:rsidRPr="00722FB9">
        <w:rPr>
          <w:rFonts w:cstheme="minorHAnsi"/>
          <w:i/>
          <w:sz w:val="24"/>
          <w:szCs w:val="24"/>
        </w:rPr>
        <w:t>location</w:t>
      </w:r>
      <w:r w:rsidRPr="00722FB9">
        <w:rPr>
          <w:rFonts w:cstheme="minorHAnsi"/>
          <w:sz w:val="24"/>
          <w:szCs w:val="24"/>
        </w:rPr>
        <w:t xml:space="preserve"> is the focus while the rest are the control variables. The control variables are independent of whether the Olympics-related housing programme has taken place in the area or not but would potentially affect the CSI. The presence of control variables would lead to more accurate results since the change in CSI would no longer be entirely explained by the variable </w:t>
      </w:r>
      <w:r w:rsidRPr="00722FB9">
        <w:rPr>
          <w:rFonts w:cstheme="minorHAnsi"/>
          <w:i/>
          <w:sz w:val="24"/>
          <w:szCs w:val="24"/>
        </w:rPr>
        <w:t>location</w:t>
      </w:r>
      <w:r w:rsidRPr="00722FB9">
        <w:rPr>
          <w:rFonts w:cstheme="minorHAnsi"/>
          <w:sz w:val="24"/>
          <w:szCs w:val="24"/>
        </w:rPr>
        <w:t xml:space="preserve">. In addition, residents were asked about the number of years an individual has lived in a particular neighbourhood -- variable </w:t>
      </w:r>
      <w:r w:rsidRPr="00722FB9">
        <w:rPr>
          <w:rFonts w:cstheme="minorHAnsi"/>
          <w:i/>
          <w:sz w:val="24"/>
          <w:szCs w:val="24"/>
        </w:rPr>
        <w:t>duration (y</w:t>
      </w:r>
      <w:r w:rsidR="007970F7" w:rsidRPr="00722FB9">
        <w:rPr>
          <w:rFonts w:cstheme="minorHAnsi"/>
          <w:i/>
          <w:sz w:val="24"/>
          <w:szCs w:val="24"/>
        </w:rPr>
        <w:t>ea</w:t>
      </w:r>
      <w:r w:rsidRPr="00722FB9">
        <w:rPr>
          <w:rFonts w:cstheme="minorHAnsi"/>
          <w:i/>
          <w:sz w:val="24"/>
          <w:szCs w:val="24"/>
        </w:rPr>
        <w:t>rs)</w:t>
      </w:r>
      <w:r w:rsidRPr="00722FB9">
        <w:rPr>
          <w:rFonts w:cstheme="minorHAnsi"/>
          <w:sz w:val="24"/>
          <w:szCs w:val="24"/>
        </w:rPr>
        <w:t xml:space="preserve">, their expectation of the likelihood of living in the community in the next five years, as well as their attitudes towards the cost of living in the community. With the consent of the respondents, all information was collected anonymously. </w:t>
      </w:r>
    </w:p>
    <w:p w:rsidR="00472AA7" w:rsidRPr="00722FB9" w:rsidRDefault="00472AA7" w:rsidP="005E10A2">
      <w:pPr>
        <w:autoSpaceDE w:val="0"/>
        <w:autoSpaceDN w:val="0"/>
        <w:adjustRightInd w:val="0"/>
        <w:spacing w:after="0" w:line="480" w:lineRule="auto"/>
        <w:jc w:val="both"/>
        <w:rPr>
          <w:rFonts w:cstheme="minorHAnsi"/>
          <w:sz w:val="24"/>
          <w:szCs w:val="24"/>
        </w:rPr>
      </w:pPr>
    </w:p>
    <w:p w:rsidR="00472AA7" w:rsidRPr="00722FB9" w:rsidRDefault="00472AA7" w:rsidP="005E10A2">
      <w:pPr>
        <w:autoSpaceDE w:val="0"/>
        <w:autoSpaceDN w:val="0"/>
        <w:adjustRightInd w:val="0"/>
        <w:spacing w:after="0" w:line="480" w:lineRule="auto"/>
        <w:jc w:val="both"/>
        <w:rPr>
          <w:rFonts w:cstheme="minorHAnsi"/>
          <w:i/>
          <w:sz w:val="24"/>
          <w:szCs w:val="24"/>
        </w:rPr>
      </w:pPr>
      <w:r w:rsidRPr="00722FB9">
        <w:rPr>
          <w:rFonts w:cstheme="minorHAnsi"/>
          <w:i/>
          <w:sz w:val="24"/>
          <w:szCs w:val="24"/>
        </w:rPr>
        <w:t>Choice of locations</w:t>
      </w:r>
    </w:p>
    <w:p w:rsidR="00472AA7" w:rsidRPr="00722FB9" w:rsidRDefault="00472AA7" w:rsidP="005E10A2">
      <w:pPr>
        <w:autoSpaceDE w:val="0"/>
        <w:autoSpaceDN w:val="0"/>
        <w:adjustRightInd w:val="0"/>
        <w:spacing w:after="0" w:line="480" w:lineRule="auto"/>
        <w:jc w:val="both"/>
        <w:rPr>
          <w:rFonts w:cstheme="minorHAnsi"/>
          <w:i/>
          <w:sz w:val="24"/>
          <w:szCs w:val="24"/>
        </w:rPr>
      </w:pPr>
    </w:p>
    <w:p w:rsidR="00472AA7" w:rsidRPr="00722FB9" w:rsidRDefault="00472AA7" w:rsidP="005E10A2">
      <w:pPr>
        <w:autoSpaceDE w:val="0"/>
        <w:autoSpaceDN w:val="0"/>
        <w:adjustRightInd w:val="0"/>
        <w:spacing w:after="0" w:line="480" w:lineRule="auto"/>
        <w:ind w:firstLine="708"/>
        <w:jc w:val="both"/>
        <w:rPr>
          <w:rFonts w:cstheme="minorHAnsi"/>
          <w:sz w:val="24"/>
          <w:szCs w:val="24"/>
        </w:rPr>
      </w:pPr>
      <w:r w:rsidRPr="00722FB9">
        <w:rPr>
          <w:rFonts w:cstheme="minorHAnsi"/>
          <w:sz w:val="24"/>
          <w:szCs w:val="24"/>
        </w:rPr>
        <w:t xml:space="preserve">Greater Carpenters is a neighbourhood in the ward of Stratford, which is located in the borough of Newham in East London. This area was chosen as the experimental location, as it is the site of the SMM housing construction. This </w:t>
      </w:r>
      <w:r w:rsidR="002C52C0" w:rsidRPr="00722FB9">
        <w:rPr>
          <w:rFonts w:cstheme="minorHAnsi"/>
          <w:sz w:val="24"/>
          <w:szCs w:val="24"/>
        </w:rPr>
        <w:t>research</w:t>
      </w:r>
      <w:r w:rsidRPr="00722FB9">
        <w:rPr>
          <w:rFonts w:cstheme="minorHAnsi"/>
          <w:sz w:val="24"/>
          <w:szCs w:val="24"/>
        </w:rPr>
        <w:t xml:space="preserve"> started after the announcement of the SMM homebuilding programme and the data prior to the </w:t>
      </w:r>
      <w:r w:rsidRPr="00722FB9">
        <w:rPr>
          <w:rFonts w:cstheme="minorHAnsi"/>
          <w:sz w:val="24"/>
          <w:szCs w:val="24"/>
        </w:rPr>
        <w:lastRenderedPageBreak/>
        <w:t>announcement were not available, thus making inter-temporal comparison impossible. An inter-district comparison was therefore used to compare Greater Carpenters with a district that is not affected by the Olympics rela</w:t>
      </w:r>
      <w:r w:rsidR="002C52C0" w:rsidRPr="00722FB9">
        <w:rPr>
          <w:rFonts w:cstheme="minorHAnsi"/>
          <w:sz w:val="24"/>
          <w:szCs w:val="24"/>
        </w:rPr>
        <w:t>ted housing programme. Leigham C</w:t>
      </w:r>
      <w:r w:rsidRPr="00722FB9">
        <w:rPr>
          <w:rFonts w:cstheme="minorHAnsi"/>
          <w:sz w:val="24"/>
          <w:szCs w:val="24"/>
        </w:rPr>
        <w:t xml:space="preserve">ourt is a neighbourhood in the ward of Streatham Hill, which is located in the borough of Lambeth in South London. This location is chosen as the control area. The 2001 National Census, which is the latest one available, shows that Streatham Hill shares similar characteristics with Stratford in terms of population size, gender, age and ethnicity composition, as well as the socio-economic level prior to the Olympic games </w:t>
      </w:r>
      <w:r w:rsidR="00584198" w:rsidRPr="00722FB9">
        <w:rPr>
          <w:rFonts w:cstheme="minorHAnsi"/>
          <w:sz w:val="24"/>
          <w:szCs w:val="24"/>
        </w:rPr>
        <w:t xml:space="preserve">(see Appendix 2). </w:t>
      </w:r>
      <w:r w:rsidRPr="00722FB9">
        <w:rPr>
          <w:rFonts w:cstheme="minorHAnsi"/>
          <w:sz w:val="24"/>
          <w:szCs w:val="24"/>
        </w:rPr>
        <w:t>Therefore it could be assumed that both locations had a similar CSI before</w:t>
      </w:r>
      <w:r w:rsidR="002C52C0" w:rsidRPr="00722FB9">
        <w:rPr>
          <w:rFonts w:cstheme="minorHAnsi"/>
          <w:sz w:val="24"/>
          <w:szCs w:val="24"/>
        </w:rPr>
        <w:t xml:space="preserve"> the</w:t>
      </w:r>
      <w:r w:rsidRPr="00722FB9">
        <w:rPr>
          <w:rFonts w:cstheme="minorHAnsi"/>
          <w:sz w:val="24"/>
          <w:szCs w:val="24"/>
        </w:rPr>
        <w:t xml:space="preserve"> SMM was announced.</w:t>
      </w:r>
      <w:r w:rsidR="002C52C0" w:rsidRPr="00722FB9">
        <w:rPr>
          <w:rFonts w:cstheme="minorHAnsi"/>
          <w:sz w:val="24"/>
          <w:szCs w:val="24"/>
        </w:rPr>
        <w:t xml:space="preserve"> Forty-two responses</w:t>
      </w:r>
      <w:r w:rsidRPr="00722FB9">
        <w:rPr>
          <w:rFonts w:cstheme="minorHAnsi"/>
          <w:sz w:val="24"/>
          <w:szCs w:val="24"/>
        </w:rPr>
        <w:t xml:space="preserve"> were collected from each</w:t>
      </w:r>
      <w:r w:rsidRPr="00722FB9">
        <w:rPr>
          <w:rFonts w:cstheme="minorHAnsi"/>
          <w:i/>
          <w:sz w:val="24"/>
          <w:szCs w:val="24"/>
        </w:rPr>
        <w:t xml:space="preserve"> </w:t>
      </w:r>
      <w:r w:rsidRPr="00722FB9">
        <w:rPr>
          <w:rFonts w:cstheme="minorHAnsi"/>
          <w:sz w:val="24"/>
          <w:szCs w:val="24"/>
        </w:rPr>
        <w:t xml:space="preserve">location, and each sample includes members of all age groups, </w:t>
      </w:r>
      <w:r w:rsidR="007B08DC" w:rsidRPr="00722FB9">
        <w:rPr>
          <w:rFonts w:cstheme="minorHAnsi"/>
          <w:sz w:val="24"/>
          <w:szCs w:val="24"/>
        </w:rPr>
        <w:t xml:space="preserve">many </w:t>
      </w:r>
      <w:r w:rsidR="00004B6E" w:rsidRPr="00722FB9">
        <w:rPr>
          <w:rFonts w:cstheme="minorHAnsi"/>
          <w:sz w:val="24"/>
          <w:szCs w:val="24"/>
        </w:rPr>
        <w:t>ethnicit</w:t>
      </w:r>
      <w:r w:rsidR="007B08DC" w:rsidRPr="00722FB9">
        <w:rPr>
          <w:rFonts w:cstheme="minorHAnsi"/>
          <w:sz w:val="24"/>
          <w:szCs w:val="24"/>
        </w:rPr>
        <w:t>ies</w:t>
      </w:r>
      <w:r w:rsidR="00004B6E" w:rsidRPr="00722FB9">
        <w:rPr>
          <w:rFonts w:cstheme="minorHAnsi"/>
          <w:sz w:val="24"/>
          <w:szCs w:val="24"/>
        </w:rPr>
        <w:t xml:space="preserve"> and both </w:t>
      </w:r>
      <w:r w:rsidRPr="00722FB9">
        <w:rPr>
          <w:rFonts w:cstheme="minorHAnsi"/>
          <w:sz w:val="24"/>
          <w:szCs w:val="24"/>
        </w:rPr>
        <w:t>gender</w:t>
      </w:r>
      <w:r w:rsidR="00004B6E" w:rsidRPr="00722FB9">
        <w:rPr>
          <w:rFonts w:cstheme="minorHAnsi"/>
          <w:sz w:val="24"/>
          <w:szCs w:val="24"/>
        </w:rPr>
        <w:t>s</w:t>
      </w:r>
      <w:r w:rsidRPr="00722FB9">
        <w:rPr>
          <w:rFonts w:cstheme="minorHAnsi"/>
          <w:sz w:val="24"/>
          <w:szCs w:val="24"/>
        </w:rPr>
        <w:t xml:space="preserve">. </w:t>
      </w:r>
    </w:p>
    <w:p w:rsidR="00472AA7" w:rsidRPr="00722FB9" w:rsidRDefault="00472AA7" w:rsidP="005E10A2">
      <w:pPr>
        <w:autoSpaceDE w:val="0"/>
        <w:autoSpaceDN w:val="0"/>
        <w:adjustRightInd w:val="0"/>
        <w:spacing w:after="0" w:line="480" w:lineRule="auto"/>
        <w:jc w:val="both"/>
        <w:rPr>
          <w:rFonts w:cstheme="minorHAnsi"/>
          <w:sz w:val="24"/>
          <w:szCs w:val="24"/>
        </w:rPr>
      </w:pPr>
    </w:p>
    <w:p w:rsidR="00472AA7" w:rsidRPr="00722FB9" w:rsidRDefault="00472AA7" w:rsidP="005E10A2">
      <w:pPr>
        <w:autoSpaceDE w:val="0"/>
        <w:autoSpaceDN w:val="0"/>
        <w:adjustRightInd w:val="0"/>
        <w:spacing w:after="0" w:line="480" w:lineRule="auto"/>
        <w:jc w:val="both"/>
        <w:rPr>
          <w:rFonts w:cstheme="minorHAnsi"/>
          <w:i/>
          <w:sz w:val="24"/>
          <w:szCs w:val="24"/>
        </w:rPr>
      </w:pPr>
      <w:r w:rsidRPr="00722FB9">
        <w:rPr>
          <w:rFonts w:cstheme="minorHAnsi"/>
          <w:i/>
          <w:sz w:val="24"/>
          <w:szCs w:val="24"/>
        </w:rPr>
        <w:t>Statistical method</w:t>
      </w:r>
    </w:p>
    <w:p w:rsidR="00472AA7" w:rsidRPr="00722FB9" w:rsidRDefault="00472AA7" w:rsidP="005E10A2">
      <w:pPr>
        <w:autoSpaceDE w:val="0"/>
        <w:autoSpaceDN w:val="0"/>
        <w:adjustRightInd w:val="0"/>
        <w:spacing w:after="0" w:line="480" w:lineRule="auto"/>
        <w:jc w:val="both"/>
        <w:rPr>
          <w:rFonts w:cstheme="minorHAnsi"/>
          <w:i/>
          <w:sz w:val="24"/>
          <w:szCs w:val="24"/>
          <w:u w:val="single"/>
        </w:rPr>
      </w:pPr>
    </w:p>
    <w:p w:rsidR="00472AA7" w:rsidRDefault="00472AA7" w:rsidP="005E10A2">
      <w:pPr>
        <w:autoSpaceDE w:val="0"/>
        <w:autoSpaceDN w:val="0"/>
        <w:adjustRightInd w:val="0"/>
        <w:spacing w:after="0" w:line="480" w:lineRule="auto"/>
        <w:ind w:firstLine="708"/>
        <w:jc w:val="both"/>
        <w:rPr>
          <w:rFonts w:cstheme="minorHAnsi"/>
          <w:sz w:val="24"/>
          <w:szCs w:val="24"/>
        </w:rPr>
      </w:pPr>
      <w:r w:rsidRPr="00722FB9">
        <w:rPr>
          <w:rFonts w:cstheme="minorHAnsi"/>
          <w:sz w:val="24"/>
          <w:szCs w:val="24"/>
        </w:rPr>
        <w:t xml:space="preserve">The methodology involves a simple linear regression analysis examining the correlation between the </w:t>
      </w:r>
      <w:r w:rsidR="007B08DC" w:rsidRPr="00722FB9">
        <w:rPr>
          <w:rFonts w:cstheme="minorHAnsi"/>
          <w:sz w:val="24"/>
          <w:szCs w:val="24"/>
        </w:rPr>
        <w:t>SMM</w:t>
      </w:r>
      <w:r w:rsidRPr="00722FB9">
        <w:rPr>
          <w:rFonts w:cstheme="minorHAnsi"/>
          <w:sz w:val="24"/>
          <w:szCs w:val="24"/>
        </w:rPr>
        <w:t xml:space="preserve"> and the sustainability of the community as represented by the CSI. Regression analysis is used here in order to control other variables that might affect the CSI, such as age and gender.</w:t>
      </w:r>
    </w:p>
    <w:p w:rsidR="00722FB9" w:rsidRDefault="00722FB9" w:rsidP="005E10A2">
      <w:pPr>
        <w:autoSpaceDE w:val="0"/>
        <w:autoSpaceDN w:val="0"/>
        <w:adjustRightInd w:val="0"/>
        <w:spacing w:after="0" w:line="480" w:lineRule="auto"/>
        <w:ind w:firstLine="708"/>
        <w:jc w:val="both"/>
        <w:rPr>
          <w:rFonts w:cstheme="minorHAnsi"/>
          <w:sz w:val="24"/>
          <w:szCs w:val="24"/>
        </w:rPr>
      </w:pPr>
    </w:p>
    <w:p w:rsidR="00722FB9" w:rsidRDefault="00722FB9" w:rsidP="005E10A2">
      <w:pPr>
        <w:autoSpaceDE w:val="0"/>
        <w:autoSpaceDN w:val="0"/>
        <w:adjustRightInd w:val="0"/>
        <w:spacing w:after="0" w:line="480" w:lineRule="auto"/>
        <w:ind w:firstLine="708"/>
        <w:jc w:val="both"/>
        <w:rPr>
          <w:rFonts w:cstheme="minorHAnsi"/>
          <w:sz w:val="24"/>
          <w:szCs w:val="24"/>
        </w:rPr>
      </w:pPr>
    </w:p>
    <w:p w:rsidR="00722FB9" w:rsidRDefault="00722FB9" w:rsidP="005E10A2">
      <w:pPr>
        <w:autoSpaceDE w:val="0"/>
        <w:autoSpaceDN w:val="0"/>
        <w:adjustRightInd w:val="0"/>
        <w:spacing w:after="0" w:line="480" w:lineRule="auto"/>
        <w:ind w:firstLine="708"/>
        <w:jc w:val="both"/>
        <w:rPr>
          <w:rFonts w:cstheme="minorHAnsi"/>
          <w:sz w:val="24"/>
          <w:szCs w:val="24"/>
        </w:rPr>
      </w:pPr>
    </w:p>
    <w:p w:rsidR="00722FB9" w:rsidRPr="00722FB9" w:rsidRDefault="00722FB9" w:rsidP="005E10A2">
      <w:pPr>
        <w:autoSpaceDE w:val="0"/>
        <w:autoSpaceDN w:val="0"/>
        <w:adjustRightInd w:val="0"/>
        <w:spacing w:after="0" w:line="480" w:lineRule="auto"/>
        <w:ind w:firstLine="708"/>
        <w:jc w:val="both"/>
        <w:rPr>
          <w:rFonts w:cstheme="minorHAnsi"/>
          <w:sz w:val="24"/>
          <w:szCs w:val="24"/>
        </w:rPr>
      </w:pPr>
    </w:p>
    <w:p w:rsidR="007231A8" w:rsidRPr="00722FB9" w:rsidRDefault="007231A8" w:rsidP="005E10A2">
      <w:pPr>
        <w:spacing w:line="480" w:lineRule="auto"/>
        <w:jc w:val="both"/>
        <w:rPr>
          <w:rFonts w:cstheme="minorHAnsi"/>
          <w:b/>
          <w:sz w:val="24"/>
          <w:szCs w:val="24"/>
        </w:rPr>
      </w:pPr>
      <w:r w:rsidRPr="00722FB9">
        <w:rPr>
          <w:rFonts w:cstheme="minorHAnsi"/>
          <w:b/>
          <w:sz w:val="24"/>
          <w:szCs w:val="24"/>
        </w:rPr>
        <w:lastRenderedPageBreak/>
        <w:t>Statistical Findings and Interpretation</w:t>
      </w:r>
    </w:p>
    <w:p w:rsidR="007231A8" w:rsidRPr="00722FB9" w:rsidRDefault="007231A8" w:rsidP="005E10A2">
      <w:pPr>
        <w:spacing w:line="480" w:lineRule="auto"/>
        <w:ind w:firstLine="720"/>
        <w:jc w:val="both"/>
        <w:rPr>
          <w:rFonts w:cstheme="minorHAnsi"/>
          <w:sz w:val="24"/>
          <w:szCs w:val="24"/>
        </w:rPr>
      </w:pPr>
      <w:r w:rsidRPr="00722FB9">
        <w:rPr>
          <w:rFonts w:cstheme="minorHAnsi"/>
          <w:sz w:val="24"/>
          <w:szCs w:val="24"/>
        </w:rPr>
        <w:t>The relation between the variable</w:t>
      </w:r>
      <w:r w:rsidRPr="00722FB9">
        <w:rPr>
          <w:rFonts w:cstheme="minorHAnsi"/>
          <w:i/>
          <w:sz w:val="24"/>
          <w:szCs w:val="24"/>
        </w:rPr>
        <w:t xml:space="preserve"> location</w:t>
      </w:r>
      <w:r w:rsidRPr="00722FB9">
        <w:rPr>
          <w:rFonts w:cstheme="minorHAnsi"/>
          <w:sz w:val="24"/>
          <w:szCs w:val="24"/>
        </w:rPr>
        <w:t xml:space="preserve"> and the CSI is statistically insignificant (Appendix 3, Table 1). Therefore, no conclusion could be drawn as to make the decision on whether or not to reject the hypothesis that states: ‘the SMM has weakened the community spirit of Greater Carpenters Neighbourhood’.</w:t>
      </w:r>
    </w:p>
    <w:p w:rsidR="007231A8" w:rsidRPr="00722FB9" w:rsidRDefault="007231A8" w:rsidP="005E10A2">
      <w:pPr>
        <w:spacing w:line="480" w:lineRule="auto"/>
        <w:ind w:firstLine="720"/>
        <w:jc w:val="both"/>
        <w:rPr>
          <w:rFonts w:cstheme="minorHAnsi"/>
          <w:color w:val="000000"/>
          <w:sz w:val="24"/>
          <w:szCs w:val="24"/>
        </w:rPr>
      </w:pPr>
      <w:r w:rsidRPr="00722FB9">
        <w:rPr>
          <w:rFonts w:cstheme="minorHAnsi"/>
          <w:sz w:val="24"/>
          <w:szCs w:val="24"/>
        </w:rPr>
        <w:t xml:space="preserve">Another important finding is that the </w:t>
      </w:r>
      <w:r w:rsidRPr="00722FB9">
        <w:rPr>
          <w:rStyle w:val="ft"/>
          <w:rFonts w:cstheme="minorHAnsi"/>
          <w:color w:val="000000"/>
          <w:sz w:val="24"/>
          <w:szCs w:val="24"/>
        </w:rPr>
        <w:t xml:space="preserve">positive correlation between variable </w:t>
      </w:r>
      <w:r w:rsidRPr="00722FB9">
        <w:rPr>
          <w:rStyle w:val="ft"/>
          <w:rFonts w:cstheme="minorHAnsi"/>
          <w:i/>
          <w:color w:val="000000"/>
          <w:sz w:val="24"/>
          <w:szCs w:val="24"/>
        </w:rPr>
        <w:t>duration (years)</w:t>
      </w:r>
      <w:r w:rsidRPr="00722FB9">
        <w:rPr>
          <w:rStyle w:val="ft"/>
          <w:rFonts w:cstheme="minorHAnsi"/>
          <w:color w:val="000000"/>
          <w:sz w:val="24"/>
          <w:szCs w:val="24"/>
        </w:rPr>
        <w:t xml:space="preserve"> and CSI is highly significant at 10%</w:t>
      </w:r>
      <w:r w:rsidRPr="00722FB9">
        <w:rPr>
          <w:rFonts w:cstheme="minorHAnsi"/>
          <w:sz w:val="24"/>
          <w:szCs w:val="24"/>
        </w:rPr>
        <w:t xml:space="preserve">. It may suggest that the longer people have lived in one area, the higher the degree of community spirit. Hence, variable </w:t>
      </w:r>
      <w:r w:rsidRPr="00722FB9">
        <w:rPr>
          <w:rFonts w:cstheme="minorHAnsi"/>
          <w:i/>
          <w:sz w:val="24"/>
          <w:szCs w:val="24"/>
        </w:rPr>
        <w:t xml:space="preserve">duration </w:t>
      </w:r>
      <w:r w:rsidRPr="00722FB9">
        <w:rPr>
          <w:rStyle w:val="ft"/>
          <w:rFonts w:cstheme="minorHAnsi"/>
          <w:i/>
          <w:color w:val="000000"/>
          <w:sz w:val="24"/>
          <w:szCs w:val="24"/>
        </w:rPr>
        <w:t>(years)</w:t>
      </w:r>
      <w:r w:rsidRPr="00722FB9">
        <w:rPr>
          <w:rStyle w:val="ft"/>
          <w:rFonts w:cstheme="minorHAnsi"/>
          <w:color w:val="000000"/>
          <w:sz w:val="24"/>
          <w:szCs w:val="24"/>
        </w:rPr>
        <w:t xml:space="preserve"> </w:t>
      </w:r>
      <w:r w:rsidR="00722FB9">
        <w:rPr>
          <w:rFonts w:cstheme="minorHAnsi"/>
          <w:sz w:val="24"/>
          <w:szCs w:val="24"/>
        </w:rPr>
        <w:t>may be an</w:t>
      </w:r>
      <w:r w:rsidRPr="00722FB9">
        <w:rPr>
          <w:rFonts w:cstheme="minorHAnsi"/>
          <w:sz w:val="24"/>
          <w:szCs w:val="24"/>
        </w:rPr>
        <w:t xml:space="preserve"> important factor for the CSI.  This is also supported by the figures calculated on total CSI and total </w:t>
      </w:r>
      <w:r w:rsidRPr="00722FB9">
        <w:rPr>
          <w:rFonts w:cstheme="minorHAnsi"/>
          <w:i/>
          <w:sz w:val="24"/>
          <w:szCs w:val="24"/>
        </w:rPr>
        <w:t>duration</w:t>
      </w:r>
      <w:r w:rsidRPr="00722FB9">
        <w:rPr>
          <w:rFonts w:cstheme="minorHAnsi"/>
          <w:sz w:val="24"/>
          <w:szCs w:val="24"/>
        </w:rPr>
        <w:t xml:space="preserve"> in each location (Appendix 4, Bar chart 1). As people lived on average longer in Greater Carpenters than in Leigham Court, they tend to have a higher degree of community spirit.</w:t>
      </w:r>
    </w:p>
    <w:p w:rsidR="007231A8" w:rsidRPr="00722FB9" w:rsidRDefault="007231A8" w:rsidP="005E10A2">
      <w:pPr>
        <w:spacing w:line="480" w:lineRule="auto"/>
        <w:ind w:firstLine="720"/>
        <w:jc w:val="both"/>
        <w:rPr>
          <w:rFonts w:cstheme="minorHAnsi"/>
          <w:sz w:val="24"/>
          <w:szCs w:val="24"/>
        </w:rPr>
      </w:pPr>
      <w:r w:rsidRPr="00722FB9">
        <w:rPr>
          <w:rFonts w:cstheme="minorHAnsi"/>
          <w:sz w:val="24"/>
          <w:szCs w:val="24"/>
        </w:rPr>
        <w:t>This result suggests that the definition of ‘sustainability of the community’ could be altered to put more emphasis on</w:t>
      </w:r>
      <w:r w:rsidRPr="00722FB9">
        <w:rPr>
          <w:rFonts w:cstheme="minorHAnsi"/>
          <w:i/>
          <w:sz w:val="24"/>
          <w:szCs w:val="24"/>
        </w:rPr>
        <w:t xml:space="preserve"> </w:t>
      </w:r>
      <w:r w:rsidRPr="00722FB9">
        <w:rPr>
          <w:rFonts w:cstheme="minorHAnsi"/>
          <w:sz w:val="24"/>
          <w:szCs w:val="24"/>
        </w:rPr>
        <w:t xml:space="preserve">duration. This led us to the idea of ‘continued residence’ which is taken to mean living for a long time in an area and intending to remain there. The modified definition would read: ‘a community is sustainable if it experiences a high degree of continued residence’.  Community spirit is a necessary component of the definition of community, but it is not sufficient to make a community sustainable. Indeed a community can experience a high degree of community spirit even if it is highly mobile, while remaining unsustainable. Community spirit underwrites </w:t>
      </w:r>
      <w:r w:rsidRPr="00722FB9">
        <w:rPr>
          <w:rFonts w:cstheme="minorHAnsi"/>
          <w:i/>
          <w:sz w:val="24"/>
          <w:szCs w:val="24"/>
        </w:rPr>
        <w:t>any</w:t>
      </w:r>
      <w:r w:rsidRPr="00722FB9">
        <w:rPr>
          <w:rFonts w:cstheme="minorHAnsi"/>
          <w:sz w:val="24"/>
          <w:szCs w:val="24"/>
        </w:rPr>
        <w:t xml:space="preserve"> community, and continued residence underwrites a </w:t>
      </w:r>
      <w:r w:rsidRPr="00722FB9">
        <w:rPr>
          <w:rFonts w:cstheme="minorHAnsi"/>
          <w:i/>
          <w:sz w:val="24"/>
          <w:szCs w:val="24"/>
        </w:rPr>
        <w:t>sustainable</w:t>
      </w:r>
      <w:r w:rsidRPr="00722FB9">
        <w:rPr>
          <w:rFonts w:cstheme="minorHAnsi"/>
          <w:sz w:val="24"/>
          <w:szCs w:val="24"/>
        </w:rPr>
        <w:t xml:space="preserve"> community, thus </w:t>
      </w:r>
      <w:r w:rsidRPr="00722FB9">
        <w:rPr>
          <w:rFonts w:cstheme="minorHAnsi"/>
          <w:sz w:val="24"/>
          <w:szCs w:val="24"/>
        </w:rPr>
        <w:lastRenderedPageBreak/>
        <w:t xml:space="preserve">community spirit is logically prior to and necessary for the definition of community but continued residence is required to make that community sustainable. </w:t>
      </w:r>
    </w:p>
    <w:p w:rsidR="007231A8" w:rsidRPr="00722FB9" w:rsidRDefault="007231A8" w:rsidP="005E10A2">
      <w:pPr>
        <w:spacing w:line="480" w:lineRule="auto"/>
        <w:ind w:firstLine="720"/>
        <w:jc w:val="both"/>
        <w:rPr>
          <w:rFonts w:cstheme="minorHAnsi"/>
          <w:sz w:val="24"/>
          <w:szCs w:val="24"/>
          <w:lang w:eastAsia="en-US"/>
        </w:rPr>
      </w:pPr>
      <w:r w:rsidRPr="00722FB9">
        <w:rPr>
          <w:rFonts w:cstheme="minorHAnsi"/>
          <w:sz w:val="24"/>
          <w:szCs w:val="24"/>
        </w:rPr>
        <w:t>A separate regression analysis (Appendix 3, Table 2) shows that people aged over 35 tend to take part more frequently in community activities than other age groups. T</w:t>
      </w:r>
      <w:r w:rsidRPr="00722FB9">
        <w:rPr>
          <w:rFonts w:cstheme="minorHAnsi"/>
          <w:sz w:val="24"/>
          <w:szCs w:val="24"/>
          <w:lang w:eastAsia="en-US"/>
        </w:rPr>
        <w:t>here is also a significant negative correlation between the respondents aged under 54 and their feeling of being part of a community.</w:t>
      </w:r>
    </w:p>
    <w:p w:rsidR="007231A8" w:rsidRPr="00722FB9" w:rsidRDefault="007231A8" w:rsidP="005E10A2">
      <w:pPr>
        <w:spacing w:line="480" w:lineRule="auto"/>
        <w:ind w:firstLine="720"/>
        <w:jc w:val="both"/>
        <w:rPr>
          <w:rFonts w:cstheme="minorHAnsi"/>
          <w:sz w:val="24"/>
          <w:szCs w:val="24"/>
          <w:lang w:eastAsia="en-US"/>
        </w:rPr>
      </w:pPr>
      <w:r w:rsidRPr="00722FB9">
        <w:rPr>
          <w:rFonts w:cstheme="minorHAnsi"/>
          <w:sz w:val="24"/>
          <w:szCs w:val="24"/>
          <w:lang w:eastAsia="en-US"/>
        </w:rPr>
        <w:t xml:space="preserve">There is a negative correlation, significant at 10%, between the variable </w:t>
      </w:r>
      <w:r w:rsidRPr="00722FB9">
        <w:rPr>
          <w:rFonts w:cstheme="minorHAnsi"/>
          <w:i/>
          <w:sz w:val="24"/>
          <w:szCs w:val="24"/>
          <w:lang w:eastAsia="en-US"/>
        </w:rPr>
        <w:t>location</w:t>
      </w:r>
      <w:r w:rsidRPr="00722FB9">
        <w:rPr>
          <w:rFonts w:cstheme="minorHAnsi"/>
          <w:sz w:val="24"/>
          <w:szCs w:val="24"/>
          <w:lang w:eastAsia="en-US"/>
        </w:rPr>
        <w:t xml:space="preserve"> and the frequency of participation in community activities (Appendix 3, Table 2).. This means that respondents in Greater Carpenters tend to participate more in community activities than the ones in Leigham Court. Besides, the fourth regression shows that more respondents in Greater Carpenters plan to stay where they live for the next five years than in Leigham Court. This result is highly significant at 10% (Appendix 3, Table 4).  .  </w:t>
      </w:r>
    </w:p>
    <w:p w:rsidR="004C6CBC" w:rsidRDefault="004C6CBC" w:rsidP="005E10A2">
      <w:pPr>
        <w:spacing w:line="480" w:lineRule="auto"/>
        <w:ind w:firstLine="720"/>
        <w:jc w:val="both"/>
        <w:rPr>
          <w:rFonts w:cstheme="minorHAnsi"/>
          <w:sz w:val="24"/>
          <w:szCs w:val="24"/>
        </w:rPr>
      </w:pPr>
      <w:r w:rsidRPr="00722FB9">
        <w:rPr>
          <w:rFonts w:cstheme="minorHAnsi"/>
          <w:sz w:val="24"/>
          <w:szCs w:val="24"/>
        </w:rPr>
        <w:t xml:space="preserve">There are two inferences from these findings that may be important for policy-makers. First, a community can enjoy a high degree of community spirit without being sustainable. Second, continued residence (and hence sustainability) can be affected by destabilising external factors that force persons to migrate to and from an area. As has been shown, the sustainability of Greater Carpenters has not, on the original view, been affected by the Olympics. However, when one recognises that continued residence is the central condition for a sustainable community, it appears that the 2012 London </w:t>
      </w:r>
      <w:r w:rsidRPr="00722FB9">
        <w:rPr>
          <w:rFonts w:cstheme="minorHAnsi"/>
          <w:sz w:val="24"/>
          <w:szCs w:val="24"/>
        </w:rPr>
        <w:lastRenderedPageBreak/>
        <w:t>Olympics may have important ramifications on the sustainability of host communities. This follows from the literature.</w:t>
      </w:r>
    </w:p>
    <w:p w:rsidR="00722FB9" w:rsidRPr="00722FB9" w:rsidRDefault="00722FB9" w:rsidP="005E10A2">
      <w:pPr>
        <w:spacing w:line="480" w:lineRule="auto"/>
        <w:ind w:firstLine="720"/>
        <w:jc w:val="both"/>
        <w:rPr>
          <w:rFonts w:cstheme="minorHAnsi"/>
          <w:sz w:val="24"/>
          <w:szCs w:val="24"/>
        </w:rPr>
      </w:pPr>
    </w:p>
    <w:p w:rsidR="004C6CBC" w:rsidRPr="00722FB9" w:rsidRDefault="004C6CBC" w:rsidP="005E10A2">
      <w:pPr>
        <w:spacing w:line="480" w:lineRule="auto"/>
        <w:jc w:val="both"/>
        <w:rPr>
          <w:rFonts w:cstheme="minorHAnsi"/>
          <w:b/>
          <w:bCs/>
          <w:iCs/>
          <w:sz w:val="24"/>
          <w:szCs w:val="24"/>
        </w:rPr>
      </w:pPr>
      <w:r w:rsidRPr="00722FB9">
        <w:rPr>
          <w:rFonts w:cstheme="minorHAnsi"/>
          <w:b/>
          <w:bCs/>
          <w:iCs/>
          <w:sz w:val="24"/>
          <w:szCs w:val="24"/>
        </w:rPr>
        <w:t>Further Literature Review and Analysis in light of Statistical Findings</w:t>
      </w:r>
    </w:p>
    <w:p w:rsidR="004C6CBC" w:rsidRPr="00722FB9" w:rsidRDefault="004C6CBC" w:rsidP="005E10A2">
      <w:pPr>
        <w:spacing w:line="480" w:lineRule="auto"/>
        <w:ind w:firstLine="720"/>
        <w:jc w:val="both"/>
        <w:rPr>
          <w:rFonts w:cstheme="minorHAnsi"/>
          <w:sz w:val="24"/>
          <w:szCs w:val="24"/>
        </w:rPr>
      </w:pPr>
      <w:r w:rsidRPr="00722FB9">
        <w:rPr>
          <w:rFonts w:cstheme="minorHAnsi"/>
          <w:sz w:val="24"/>
          <w:szCs w:val="24"/>
        </w:rPr>
        <w:t xml:space="preserve">The findings make it clear that community spirit in Greater Carpenters is not affected by the Olympic house-building programme. However, duration of residence did affect community spirit in Greater Carpenters as compared to our control area of Leigham Court. Past studies suggest that continued residence may be affected by rising house prices in Olympics home-building programmes. The change in prices directly affects the ability of low-income tenants and home-owners to remain living in the area, therefore forcing them to move out when they can no longer afford to remain. Trends observed in research on past Olympics see rent-prices in surrounding communities increasing significantly in the years leading up to the Games, and in the years following (Cox </w:t>
      </w:r>
      <w:r w:rsidRPr="00722FB9">
        <w:rPr>
          <w:rFonts w:cstheme="minorHAnsi"/>
          <w:i/>
          <w:sz w:val="24"/>
          <w:szCs w:val="24"/>
        </w:rPr>
        <w:t>et al</w:t>
      </w:r>
      <w:r w:rsidRPr="00722FB9">
        <w:rPr>
          <w:rFonts w:cstheme="minorHAnsi"/>
          <w:sz w:val="24"/>
          <w:szCs w:val="24"/>
        </w:rPr>
        <w:t xml:space="preserve">., 1994). Though Olympics tend to drive prices up throughout the city in which they are taking place, the most concerted rise takes place in the communities constituting the ‘Olympic Corridor’: i.e. where most of the sporting infrastructure is situated (Lenskyj, 2002, p.92). Therefore, according to our revised definition the sustainability of the community in Greater Carpenters is likely to be undermined and signs of this erosion are already apparent. For example, the Land Registry reports a 5.36% increase in house prices since January 2010 for the Olympic host borough of Newham compared to a 3.37% rise in London overall (Land Registry). In addition, </w:t>
      </w:r>
      <w:r w:rsidRPr="00722FB9">
        <w:rPr>
          <w:rFonts w:cstheme="minorHAnsi"/>
          <w:sz w:val="24"/>
          <w:szCs w:val="24"/>
        </w:rPr>
        <w:lastRenderedPageBreak/>
        <w:t xml:space="preserve">Government estimates and reports have shown that ‘land values in some parts of east London increased by 25 % in the 18 months after the announcement of the successful Olympic bid… possibly quadrupling after 2012’ (Bernstock, p.208; Land Registry Data). Recent scholarship on ‘the Olympic Effect’ on housing in host cities emphasises the exponential rise in house prices in the five years prior to the Games itself, and the rise in prices in Newham can thus be seen as directly related to the start of the SMM in 2010. One possible implication of such increases in rent and house prices might, as Debbie Sadd contends, be a process of ‘gentrification’ (Sadd, 2010, p.265). In this eventuality, poorer residents of the area will be forced to leave, unable to afford the higher rents brought about by Olympic-related housing improvement and development, to be replaced by new and more affluent middle-class residents. If this effect ultimately obtains then, for obvious reasons, the Olympics (and more specifically, the SMM) will have undermined the sustainability of these communities. </w:t>
      </w:r>
    </w:p>
    <w:p w:rsidR="006D279F" w:rsidRPr="00722FB9" w:rsidRDefault="006D279F" w:rsidP="005E10A2">
      <w:pPr>
        <w:spacing w:line="480" w:lineRule="auto"/>
        <w:ind w:firstLine="720"/>
        <w:jc w:val="both"/>
        <w:rPr>
          <w:rFonts w:cstheme="minorHAnsi"/>
          <w:sz w:val="24"/>
          <w:szCs w:val="24"/>
        </w:rPr>
      </w:pPr>
      <w:r w:rsidRPr="00722FB9">
        <w:rPr>
          <w:rFonts w:cstheme="minorHAnsi"/>
          <w:sz w:val="24"/>
          <w:szCs w:val="24"/>
        </w:rPr>
        <w:t xml:space="preserve">In addition to the process of house prices affecting the continued residence, an influx of temporary workers can also act as a destabilising force (EDCST 2010; Preuss 1998). In an interview with a Greater Carpenters resident, it is apparent that a high level of mobility has taken place in the area in response to the commencement of Olympic related housing construction. Answering one question in the questionnaire, ‘do you know your neighbours by their first names?’ one resident answered ‘no’, because ‘my neighbours are changing too often’. Moreover, this influx of new labourers is perceived by the existing community to be accompanied by the entry of new residential incomers. </w:t>
      </w:r>
      <w:r w:rsidRPr="00722FB9">
        <w:rPr>
          <w:rFonts w:cstheme="minorHAnsi"/>
          <w:sz w:val="24"/>
          <w:szCs w:val="24"/>
        </w:rPr>
        <w:lastRenderedPageBreak/>
        <w:t xml:space="preserve">A regular of a local pub complained that the usual patrons have been replaced by the new temporary workers. </w:t>
      </w:r>
    </w:p>
    <w:p w:rsidR="00294E30" w:rsidRDefault="004C6CBC" w:rsidP="005E10A2">
      <w:pPr>
        <w:spacing w:line="480" w:lineRule="auto"/>
        <w:ind w:firstLine="720"/>
        <w:jc w:val="both"/>
        <w:rPr>
          <w:rFonts w:cstheme="minorHAnsi"/>
          <w:sz w:val="24"/>
          <w:szCs w:val="24"/>
        </w:rPr>
      </w:pPr>
      <w:r w:rsidRPr="00722FB9">
        <w:rPr>
          <w:rFonts w:cstheme="minorHAnsi"/>
          <w:sz w:val="24"/>
          <w:szCs w:val="24"/>
        </w:rPr>
        <w:t>Despite these insights, it is evident that the negative social impacts associated with Olympic programmes have not had as detrimental an effect on East London as compared to other Olympic cities. For example Sydney house prices rose by 7% above inflation in 1998, two years before it hosting the Games, compared with 2% historically (Lenskyj, 2002). The EDCST report gave definite consideration to the problems of rising house prices and temporary labour, when it warned of the need to ‘avoid another canary wharf’ (EDCST, 2010). The fact that London is the first host city to create a Legacy Body prior to the Games rather than after it suggests that serious thought has been given to these social problems experienced by previous hosts of the Olympics.  However, this paper suggests that an important factor in the undermining of the sustainability of a community is the damage to the continued residence of the community. The literature and qualitative evidence suggest a weakening of the continued residence in Newham, albeit lower in intensity in comparison to other host cities. Further research is needed to establish whether or not the continued residence of the community is the key factor in undermining the sustainability of a community. More study therefore needs to be done on the issue of continued residence and the dangers inherent in the ‘Olympic Effect’ in London.</w:t>
      </w:r>
    </w:p>
    <w:p w:rsidR="00722FB9" w:rsidRDefault="00722FB9" w:rsidP="005E10A2">
      <w:pPr>
        <w:spacing w:line="480" w:lineRule="auto"/>
        <w:ind w:firstLine="720"/>
        <w:jc w:val="both"/>
        <w:rPr>
          <w:rFonts w:cstheme="minorHAnsi"/>
          <w:sz w:val="24"/>
          <w:szCs w:val="24"/>
        </w:rPr>
      </w:pPr>
    </w:p>
    <w:p w:rsidR="00722FB9" w:rsidRDefault="00722FB9" w:rsidP="005E10A2">
      <w:pPr>
        <w:spacing w:line="480" w:lineRule="auto"/>
        <w:ind w:firstLine="720"/>
        <w:jc w:val="both"/>
        <w:rPr>
          <w:rFonts w:cstheme="minorHAnsi"/>
          <w:sz w:val="24"/>
          <w:szCs w:val="24"/>
        </w:rPr>
      </w:pPr>
    </w:p>
    <w:p w:rsidR="00722FB9" w:rsidRPr="00722FB9" w:rsidRDefault="00722FB9" w:rsidP="005E10A2">
      <w:pPr>
        <w:spacing w:line="480" w:lineRule="auto"/>
        <w:ind w:firstLine="720"/>
        <w:jc w:val="both"/>
        <w:rPr>
          <w:rFonts w:cstheme="minorHAnsi"/>
          <w:sz w:val="24"/>
          <w:szCs w:val="24"/>
        </w:rPr>
      </w:pPr>
    </w:p>
    <w:p w:rsidR="00BB0D7C" w:rsidRPr="00722FB9" w:rsidRDefault="00BB0D7C" w:rsidP="005E10A2">
      <w:pPr>
        <w:spacing w:line="480" w:lineRule="auto"/>
        <w:jc w:val="both"/>
        <w:rPr>
          <w:rFonts w:cstheme="minorHAnsi"/>
          <w:b/>
          <w:sz w:val="24"/>
          <w:szCs w:val="24"/>
        </w:rPr>
      </w:pPr>
      <w:r w:rsidRPr="00722FB9">
        <w:rPr>
          <w:rFonts w:cstheme="minorHAnsi"/>
          <w:b/>
          <w:sz w:val="24"/>
          <w:szCs w:val="24"/>
        </w:rPr>
        <w:t>Conclusion</w:t>
      </w:r>
    </w:p>
    <w:p w:rsidR="00BB0D7C" w:rsidRPr="00722FB9" w:rsidRDefault="00BB0D7C" w:rsidP="005E10A2">
      <w:pPr>
        <w:spacing w:line="480" w:lineRule="auto"/>
        <w:ind w:firstLine="720"/>
        <w:jc w:val="both"/>
        <w:rPr>
          <w:rFonts w:cstheme="minorHAnsi"/>
          <w:sz w:val="24"/>
          <w:szCs w:val="24"/>
        </w:rPr>
      </w:pPr>
      <w:r w:rsidRPr="00722FB9">
        <w:rPr>
          <w:rFonts w:cstheme="minorHAnsi"/>
          <w:sz w:val="24"/>
          <w:szCs w:val="24"/>
        </w:rPr>
        <w:t xml:space="preserve">This paper has created a new, workable measure of community spirit, the Community Spirit Index (CSI), which can be of use in short-term studies. Combined qualitative and quantitative methods yielded no statistically significant findings which proved an effect of the Olympics home-building programme on Greater Carpenters, as compared to the control sample in Leigham Court. However, the significant statistical relationship that was observed between the duration of residence in an area and the strength of perception of community spirit led to a re-conception of sustainability of communities. Duration of residence gave rise to the idea that continued residence, as opposed to CSI, constitutes the central condition of sustainability. This led to a new suggested definition of ‘sustainability of communities’. Further research is needed to ascertain whether the Olympics home-building programme will have an effect on the sustainability of the Greater Carpenters area, and whether the ‘Olympic effect’ observed in studies of other Olympic sites will be observed in East London. </w:t>
      </w:r>
    </w:p>
    <w:p w:rsidR="00E86891" w:rsidRPr="00722FB9" w:rsidRDefault="00BB0D7C" w:rsidP="005E10A2">
      <w:pPr>
        <w:spacing w:after="0" w:line="480" w:lineRule="auto"/>
        <w:jc w:val="both"/>
        <w:rPr>
          <w:rFonts w:cstheme="minorHAnsi"/>
          <w:sz w:val="24"/>
          <w:szCs w:val="24"/>
        </w:rPr>
      </w:pPr>
      <w:r w:rsidRPr="00722FB9">
        <w:rPr>
          <w:rFonts w:cstheme="minorHAnsi"/>
          <w:sz w:val="24"/>
          <w:szCs w:val="24"/>
        </w:rPr>
        <w:t xml:space="preserve"> </w:t>
      </w:r>
      <w:r w:rsidR="00E86891" w:rsidRPr="00722FB9">
        <w:rPr>
          <w:rFonts w:cstheme="minorHAnsi"/>
          <w:sz w:val="24"/>
          <w:szCs w:val="24"/>
        </w:rPr>
        <w:br w:type="page"/>
      </w:r>
    </w:p>
    <w:p w:rsidR="00DC5D59" w:rsidRPr="00722FB9" w:rsidRDefault="00DC5D59" w:rsidP="005E10A2">
      <w:pPr>
        <w:spacing w:line="480" w:lineRule="auto"/>
        <w:jc w:val="both"/>
        <w:rPr>
          <w:rFonts w:cstheme="minorHAnsi"/>
          <w:sz w:val="24"/>
          <w:szCs w:val="24"/>
        </w:rPr>
      </w:pPr>
      <w:r w:rsidRPr="00722FB9">
        <w:rPr>
          <w:rFonts w:cstheme="minorHAnsi"/>
          <w:sz w:val="24"/>
          <w:szCs w:val="24"/>
        </w:rPr>
        <w:lastRenderedPageBreak/>
        <w:t>Bibliography</w:t>
      </w:r>
    </w:p>
    <w:p w:rsidR="00DC5D59" w:rsidRPr="00722FB9" w:rsidRDefault="00DC5D59" w:rsidP="005E10A2">
      <w:pPr>
        <w:spacing w:line="480" w:lineRule="auto"/>
        <w:jc w:val="both"/>
        <w:rPr>
          <w:rFonts w:cstheme="minorHAnsi"/>
          <w:sz w:val="24"/>
          <w:szCs w:val="24"/>
        </w:rPr>
      </w:pP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Ahlfeldt G., and W. Maennig, ‘Impact of Sports Arenas on Land Values: Evidence from Berlin’, 2008, in </w:t>
      </w:r>
      <w:r w:rsidRPr="00722FB9">
        <w:rPr>
          <w:rFonts w:cstheme="minorHAnsi"/>
          <w:i/>
          <w:sz w:val="24"/>
          <w:szCs w:val="24"/>
        </w:rPr>
        <w:t>Annals of Regional Science</w:t>
      </w:r>
      <w:r w:rsidRPr="00722FB9">
        <w:rPr>
          <w:rFonts w:cstheme="minorHAnsi"/>
          <w:sz w:val="24"/>
          <w:szCs w:val="24"/>
        </w:rPr>
        <w:t xml:space="preserve"> Vol. 44, No. 2, pp. 205-227</w:t>
      </w:r>
    </w:p>
    <w:p w:rsidR="00DC5D59" w:rsidRPr="00722FB9" w:rsidRDefault="00DC5D59" w:rsidP="005E10A2">
      <w:pPr>
        <w:spacing w:line="480" w:lineRule="auto"/>
        <w:jc w:val="both"/>
        <w:rPr>
          <w:rFonts w:cstheme="minorHAnsi"/>
          <w:b/>
          <w:bCs/>
          <w:color w:val="000000"/>
          <w:sz w:val="24"/>
          <w:szCs w:val="24"/>
        </w:rPr>
      </w:pPr>
      <w:r w:rsidRPr="00722FB9">
        <w:rPr>
          <w:rStyle w:val="Strong"/>
          <w:rFonts w:cstheme="minorHAnsi"/>
          <w:b w:val="0"/>
          <w:color w:val="000000"/>
          <w:sz w:val="24"/>
          <w:szCs w:val="24"/>
        </w:rPr>
        <w:t xml:space="preserve">Butler T., and M. Rustin, </w:t>
      </w:r>
      <w:r w:rsidRPr="00722FB9">
        <w:rPr>
          <w:rStyle w:val="Strong"/>
          <w:rFonts w:cstheme="minorHAnsi"/>
          <w:b w:val="0"/>
          <w:i/>
          <w:color w:val="000000"/>
          <w:sz w:val="24"/>
          <w:szCs w:val="24"/>
        </w:rPr>
        <w:t>Rising in the east? The regeneration of East London</w:t>
      </w:r>
      <w:r w:rsidRPr="00722FB9">
        <w:rPr>
          <w:rStyle w:val="Strong"/>
          <w:rFonts w:cstheme="minorHAnsi"/>
          <w:b w:val="0"/>
          <w:color w:val="000000"/>
          <w:sz w:val="24"/>
          <w:szCs w:val="24"/>
        </w:rPr>
        <w:t>, 1996, Lawrence &amp; Wishart: London</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Christiano T., and J. Christman, eds., </w:t>
      </w:r>
      <w:r w:rsidRPr="00722FB9">
        <w:rPr>
          <w:rFonts w:cstheme="minorHAnsi"/>
          <w:i/>
          <w:sz w:val="24"/>
          <w:szCs w:val="24"/>
        </w:rPr>
        <w:t>Contemporary Debates in Political Philosophy</w:t>
      </w:r>
      <w:r w:rsidRPr="00722FB9">
        <w:rPr>
          <w:rFonts w:cstheme="minorHAnsi"/>
          <w:sz w:val="24"/>
          <w:szCs w:val="24"/>
        </w:rPr>
        <w:t xml:space="preserve">, 2009, Wiley-Blackwell: Oxford. </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Coaffee J., ‘Urban Regeneration and Renewal’, in </w:t>
      </w:r>
      <w:r w:rsidRPr="00722FB9">
        <w:rPr>
          <w:rFonts w:cstheme="minorHAnsi"/>
          <w:i/>
          <w:sz w:val="24"/>
          <w:szCs w:val="24"/>
        </w:rPr>
        <w:t>Olympic Cities</w:t>
      </w:r>
      <w:r w:rsidRPr="00722FB9">
        <w:rPr>
          <w:rFonts w:cstheme="minorHAnsi"/>
          <w:sz w:val="24"/>
          <w:szCs w:val="24"/>
        </w:rPr>
        <w:t>, ed. J. Gold and M. Gold, 2007, Routledge: London</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Cox G., M. Darcy and M. Bounds,</w:t>
      </w:r>
      <w:r w:rsidRPr="00722FB9">
        <w:rPr>
          <w:rFonts w:cstheme="minorHAnsi"/>
          <w:i/>
          <w:sz w:val="24"/>
          <w:szCs w:val="24"/>
        </w:rPr>
        <w:t xml:space="preserve"> The Olympics and Housing</w:t>
      </w:r>
      <w:r w:rsidRPr="00722FB9">
        <w:rPr>
          <w:rFonts w:cstheme="minorHAnsi"/>
          <w:sz w:val="24"/>
          <w:szCs w:val="24"/>
        </w:rPr>
        <w:t>, , 1994, Shelter NSW: Sydney.</w:t>
      </w:r>
    </w:p>
    <w:p w:rsidR="00DC5D59" w:rsidRPr="00722FB9" w:rsidRDefault="00DC5D59" w:rsidP="005E10A2">
      <w:pPr>
        <w:spacing w:line="480" w:lineRule="auto"/>
        <w:jc w:val="both"/>
        <w:rPr>
          <w:rFonts w:cstheme="minorHAnsi"/>
          <w:sz w:val="24"/>
          <w:szCs w:val="24"/>
        </w:rPr>
      </w:pPr>
      <w:r w:rsidRPr="00722FB9">
        <w:rPr>
          <w:rStyle w:val="apple-style-span"/>
          <w:rFonts w:cstheme="minorHAnsi"/>
          <w:color w:val="000000"/>
          <w:sz w:val="24"/>
          <w:szCs w:val="24"/>
        </w:rPr>
        <w:t>Dworkin R., ‘In Defense of Equality’, in</w:t>
      </w:r>
      <w:r w:rsidRPr="00722FB9">
        <w:rPr>
          <w:rStyle w:val="apple-converted-space"/>
          <w:rFonts w:cstheme="minorHAnsi"/>
          <w:color w:val="000000"/>
          <w:sz w:val="24"/>
          <w:szCs w:val="24"/>
        </w:rPr>
        <w:t> </w:t>
      </w:r>
      <w:r w:rsidRPr="00722FB9">
        <w:rPr>
          <w:rStyle w:val="apple-style-span"/>
          <w:rFonts w:cstheme="minorHAnsi"/>
          <w:i/>
          <w:iCs/>
          <w:color w:val="000000"/>
          <w:sz w:val="24"/>
          <w:szCs w:val="24"/>
        </w:rPr>
        <w:t>Social Philosophy and Policy</w:t>
      </w:r>
      <w:r w:rsidRPr="00722FB9">
        <w:rPr>
          <w:rStyle w:val="apple-converted-space"/>
          <w:rFonts w:cstheme="minorHAnsi"/>
          <w:i/>
          <w:iCs/>
          <w:color w:val="000000"/>
          <w:sz w:val="24"/>
          <w:szCs w:val="24"/>
        </w:rPr>
        <w:t> </w:t>
      </w:r>
      <w:r w:rsidRPr="00722FB9">
        <w:rPr>
          <w:rStyle w:val="apple-style-span"/>
          <w:rFonts w:cstheme="minorHAnsi"/>
          <w:color w:val="000000"/>
          <w:sz w:val="24"/>
          <w:szCs w:val="24"/>
        </w:rPr>
        <w:t>1: 24-40, 1983</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Gold J., and M. Gold, eds., </w:t>
      </w:r>
      <w:r w:rsidRPr="00722FB9">
        <w:rPr>
          <w:rFonts w:cstheme="minorHAnsi"/>
          <w:i/>
          <w:sz w:val="24"/>
          <w:szCs w:val="24"/>
        </w:rPr>
        <w:t>Olympic Cities</w:t>
      </w:r>
      <w:r w:rsidRPr="00722FB9">
        <w:rPr>
          <w:rFonts w:cstheme="minorHAnsi"/>
          <w:sz w:val="24"/>
          <w:szCs w:val="24"/>
        </w:rPr>
        <w:t>, 2007, Routledge: London</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‘Foreword from Sir Robin Wales’ in </w:t>
      </w:r>
      <w:r w:rsidRPr="00722FB9">
        <w:rPr>
          <w:rFonts w:cstheme="minorHAnsi"/>
          <w:i/>
          <w:sz w:val="24"/>
          <w:szCs w:val="24"/>
        </w:rPr>
        <w:t>Stratford Metropolitan Masterplan Executive Summary</w:t>
      </w:r>
      <w:r w:rsidRPr="00722FB9">
        <w:rPr>
          <w:rFonts w:cstheme="minorHAnsi"/>
          <w:sz w:val="24"/>
          <w:szCs w:val="24"/>
        </w:rPr>
        <w:t>, &lt;www.newham.gov.uk/stratfordmetropolitan&gt;</w:t>
      </w:r>
    </w:p>
    <w:p w:rsidR="00DC5D59" w:rsidRPr="00722FB9" w:rsidRDefault="00DC5D59" w:rsidP="005E10A2">
      <w:pPr>
        <w:spacing w:line="480" w:lineRule="auto"/>
        <w:jc w:val="both"/>
        <w:rPr>
          <w:rFonts w:eastAsia="Times New Roman" w:cstheme="minorHAnsi"/>
          <w:sz w:val="24"/>
          <w:szCs w:val="24"/>
          <w:lang w:eastAsia="en-US"/>
        </w:rPr>
      </w:pPr>
      <w:r w:rsidRPr="00722FB9">
        <w:rPr>
          <w:rFonts w:eastAsia="Times New Roman" w:cstheme="minorHAnsi"/>
          <w:i/>
          <w:iCs/>
          <w:sz w:val="24"/>
          <w:szCs w:val="24"/>
          <w:lang w:eastAsia="en-US"/>
        </w:rPr>
        <w:t>House Price Index</w:t>
      </w:r>
      <w:r w:rsidRPr="00722FB9">
        <w:rPr>
          <w:rFonts w:eastAsia="Times New Roman" w:cstheme="minorHAnsi"/>
          <w:sz w:val="24"/>
          <w:szCs w:val="24"/>
          <w:lang w:eastAsia="en-US"/>
        </w:rPr>
        <w:t>. United Kingdom. Her Majesty's Land Registry.  Web. Accessed 1 July 2011. &lt;http://www.landregistry.gov.uk/&gt;.</w:t>
      </w:r>
    </w:p>
    <w:p w:rsidR="00DC5D59" w:rsidRPr="00722FB9" w:rsidRDefault="00DC5D59" w:rsidP="005E10A2">
      <w:pPr>
        <w:spacing w:line="480" w:lineRule="auto"/>
        <w:jc w:val="both"/>
        <w:rPr>
          <w:rFonts w:cstheme="minorHAnsi"/>
          <w:sz w:val="24"/>
          <w:szCs w:val="24"/>
        </w:rPr>
      </w:pPr>
      <w:r w:rsidRPr="00722FB9">
        <w:rPr>
          <w:rFonts w:cstheme="minorHAnsi"/>
          <w:i/>
          <w:iCs/>
          <w:sz w:val="24"/>
          <w:szCs w:val="24"/>
        </w:rPr>
        <w:lastRenderedPageBreak/>
        <w:t xml:space="preserve">Legacy Limited? A review of the Olympic Park Legacy Company Role, </w:t>
      </w:r>
      <w:r w:rsidRPr="00722FB9">
        <w:rPr>
          <w:rFonts w:cstheme="minorHAnsi"/>
          <w:sz w:val="24"/>
          <w:szCs w:val="24"/>
        </w:rPr>
        <w:t>Economic Development, Culture, Sport and Tourism Committee Report 2010, Greater London Authority.</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Lenskyj H.J., </w:t>
      </w:r>
      <w:r w:rsidRPr="00722FB9">
        <w:rPr>
          <w:rFonts w:cstheme="minorHAnsi"/>
          <w:i/>
          <w:sz w:val="24"/>
          <w:szCs w:val="24"/>
        </w:rPr>
        <w:t>The Best Olympics Ever?</w:t>
      </w:r>
      <w:r w:rsidRPr="00722FB9">
        <w:rPr>
          <w:rFonts w:cstheme="minorHAnsi"/>
          <w:sz w:val="24"/>
          <w:szCs w:val="24"/>
        </w:rPr>
        <w:t xml:space="preserve"> 2002, State University of New York Press: Albany, NY.</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MacIntyre A., </w:t>
      </w:r>
      <w:r w:rsidRPr="00722FB9">
        <w:rPr>
          <w:rFonts w:cstheme="minorHAnsi"/>
          <w:i/>
          <w:sz w:val="24"/>
          <w:szCs w:val="24"/>
        </w:rPr>
        <w:t>After Virtue</w:t>
      </w:r>
      <w:r w:rsidRPr="00722FB9">
        <w:rPr>
          <w:rFonts w:cstheme="minorHAnsi"/>
          <w:sz w:val="24"/>
          <w:szCs w:val="24"/>
        </w:rPr>
        <w:t>, 1981, University of Notre Dame Press: Notre Dame, IN.</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Mumford K., and A. Power, </w:t>
      </w:r>
      <w:r w:rsidRPr="00722FB9">
        <w:rPr>
          <w:rFonts w:cstheme="minorHAnsi"/>
          <w:i/>
          <w:sz w:val="24"/>
          <w:szCs w:val="24"/>
        </w:rPr>
        <w:t>East Enders</w:t>
      </w:r>
      <w:r w:rsidRPr="00722FB9">
        <w:rPr>
          <w:rFonts w:cstheme="minorHAnsi"/>
          <w:sz w:val="24"/>
          <w:szCs w:val="24"/>
        </w:rPr>
        <w:t>, 2003, The Policy Press: Bristol</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Marie Hoff, ed., </w:t>
      </w:r>
      <w:r w:rsidRPr="00722FB9">
        <w:rPr>
          <w:rFonts w:cstheme="minorHAnsi"/>
          <w:i/>
          <w:sz w:val="24"/>
          <w:szCs w:val="24"/>
        </w:rPr>
        <w:t>Sustainable Community Development: Studies in Economic, Environmental and Cultural Revitalisation</w:t>
      </w:r>
      <w:r w:rsidRPr="00722FB9">
        <w:rPr>
          <w:rFonts w:cstheme="minorHAnsi"/>
          <w:sz w:val="24"/>
          <w:szCs w:val="24"/>
        </w:rPr>
        <w:t>, 2000, Lewis Publishers: Boca Raton, Fl.</w:t>
      </w:r>
    </w:p>
    <w:p w:rsidR="00DC5D59" w:rsidRPr="00722FB9" w:rsidRDefault="00DC5D59" w:rsidP="005E10A2">
      <w:pPr>
        <w:spacing w:line="480" w:lineRule="auto"/>
        <w:jc w:val="both"/>
        <w:rPr>
          <w:rFonts w:eastAsia="Times New Roman" w:cstheme="minorHAnsi"/>
          <w:sz w:val="24"/>
          <w:szCs w:val="24"/>
          <w:lang w:eastAsia="en-US"/>
        </w:rPr>
      </w:pPr>
      <w:r w:rsidRPr="00722FB9">
        <w:rPr>
          <w:rFonts w:eastAsia="Times New Roman" w:cstheme="minorHAnsi"/>
          <w:i/>
          <w:iCs/>
          <w:sz w:val="24"/>
          <w:szCs w:val="24"/>
          <w:lang w:eastAsia="en-US"/>
        </w:rPr>
        <w:t>Neighbourhood Statistics</w:t>
      </w:r>
      <w:r w:rsidRPr="00722FB9">
        <w:rPr>
          <w:rFonts w:eastAsia="Times New Roman" w:cstheme="minorHAnsi"/>
          <w:sz w:val="24"/>
          <w:szCs w:val="24"/>
          <w:lang w:eastAsia="en-US"/>
        </w:rPr>
        <w:t>. United Kingdom.</w:t>
      </w:r>
      <w:r w:rsidR="00AD518A" w:rsidRPr="00722FB9">
        <w:rPr>
          <w:rFonts w:eastAsia="Times New Roman" w:cstheme="minorHAnsi"/>
          <w:sz w:val="24"/>
          <w:szCs w:val="24"/>
          <w:lang w:eastAsia="en-US"/>
        </w:rPr>
        <w:t xml:space="preserve"> Office of National Statistics.</w:t>
      </w:r>
      <w:r w:rsidRPr="00722FB9">
        <w:rPr>
          <w:rFonts w:eastAsia="Times New Roman" w:cstheme="minorHAnsi"/>
          <w:sz w:val="24"/>
          <w:szCs w:val="24"/>
          <w:lang w:eastAsia="en-US"/>
        </w:rPr>
        <w:t xml:space="preserve"> Office National Statistics. Web. Accessed 1 July 2011. &lt;http://www.neighbourhood.statistics.gov.uk/dissemination/&gt;.</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Preuss H., </w:t>
      </w:r>
      <w:r w:rsidRPr="00722FB9">
        <w:rPr>
          <w:rFonts w:cstheme="minorHAnsi"/>
          <w:i/>
          <w:sz w:val="24"/>
          <w:szCs w:val="24"/>
        </w:rPr>
        <w:t>The Economics of Staging the Olympic Games</w:t>
      </w:r>
      <w:r w:rsidRPr="00722FB9">
        <w:rPr>
          <w:rFonts w:cstheme="minorHAnsi"/>
          <w:sz w:val="24"/>
          <w:szCs w:val="24"/>
        </w:rPr>
        <w:t>, 2004, Edward Elgar: Cheltenham.</w:t>
      </w:r>
    </w:p>
    <w:p w:rsidR="006D279F" w:rsidRPr="00722FB9" w:rsidRDefault="006D279F" w:rsidP="005E10A2">
      <w:pPr>
        <w:spacing w:line="480" w:lineRule="auto"/>
        <w:jc w:val="both"/>
        <w:rPr>
          <w:rFonts w:cstheme="minorHAnsi"/>
          <w:sz w:val="24"/>
          <w:szCs w:val="24"/>
        </w:rPr>
      </w:pPr>
      <w:r w:rsidRPr="00722FB9">
        <w:rPr>
          <w:rFonts w:cstheme="minorHAnsi"/>
          <w:sz w:val="24"/>
          <w:szCs w:val="24"/>
        </w:rPr>
        <w:t>Preuss H., ‘Problemizing Arguments of the</w:t>
      </w:r>
      <w:r w:rsidR="00BB0D7C" w:rsidRPr="00722FB9">
        <w:rPr>
          <w:rFonts w:cstheme="minorHAnsi"/>
          <w:sz w:val="24"/>
          <w:szCs w:val="24"/>
        </w:rPr>
        <w:t xml:space="preserve"> </w:t>
      </w:r>
      <w:r w:rsidRPr="00722FB9">
        <w:rPr>
          <w:rFonts w:cstheme="minorHAnsi"/>
          <w:sz w:val="24"/>
          <w:szCs w:val="24"/>
        </w:rPr>
        <w:t>Opponents of Olympic Games’, in Fourth International Symposium for Olympic Research, 1998, The University of Western Ontario: London, Ontario, Canada</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Roseland M., </w:t>
      </w:r>
      <w:r w:rsidRPr="00722FB9">
        <w:rPr>
          <w:rFonts w:cstheme="minorHAnsi"/>
          <w:i/>
          <w:sz w:val="24"/>
          <w:szCs w:val="24"/>
        </w:rPr>
        <w:t>Toward Sustainable Communities</w:t>
      </w:r>
      <w:r w:rsidRPr="00722FB9">
        <w:rPr>
          <w:rFonts w:cstheme="minorHAnsi"/>
          <w:sz w:val="24"/>
          <w:szCs w:val="24"/>
        </w:rPr>
        <w:t>, 1998, New Society Publishers: Gabriola Island, BC</w:t>
      </w:r>
    </w:p>
    <w:p w:rsidR="00DC5D59" w:rsidRPr="00722FB9" w:rsidRDefault="00DC5D59" w:rsidP="005E10A2">
      <w:pPr>
        <w:spacing w:line="480" w:lineRule="auto"/>
        <w:jc w:val="both"/>
        <w:rPr>
          <w:rFonts w:cstheme="minorHAnsi"/>
          <w:sz w:val="24"/>
          <w:szCs w:val="24"/>
        </w:rPr>
      </w:pPr>
      <w:r w:rsidRPr="00722FB9">
        <w:rPr>
          <w:rFonts w:cstheme="minorHAnsi"/>
          <w:sz w:val="24"/>
          <w:szCs w:val="24"/>
        </w:rPr>
        <w:lastRenderedPageBreak/>
        <w:t xml:space="preserve">Sadd, D. ‘What is event-led regeneration? Are we confusing terminology or will the London 2012 Olympics be the first games to truly benefit the local existing population?’ 2010, in </w:t>
      </w:r>
      <w:r w:rsidRPr="00722FB9">
        <w:rPr>
          <w:rFonts w:cstheme="minorHAnsi"/>
          <w:i/>
          <w:sz w:val="24"/>
          <w:szCs w:val="24"/>
        </w:rPr>
        <w:t xml:space="preserve">Event Management, </w:t>
      </w:r>
      <w:r w:rsidRPr="00722FB9">
        <w:rPr>
          <w:rFonts w:cstheme="minorHAnsi"/>
          <w:sz w:val="24"/>
          <w:szCs w:val="24"/>
        </w:rPr>
        <w:t>Cognizant Communication Press: USA.</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Sandel M., </w:t>
      </w:r>
      <w:r w:rsidRPr="00722FB9">
        <w:rPr>
          <w:rFonts w:cstheme="minorHAnsi"/>
          <w:i/>
          <w:sz w:val="24"/>
          <w:szCs w:val="24"/>
        </w:rPr>
        <w:t>Liberalism and the Limits of Justice</w:t>
      </w:r>
      <w:r w:rsidRPr="00722FB9">
        <w:rPr>
          <w:rFonts w:cstheme="minorHAnsi"/>
          <w:sz w:val="24"/>
          <w:szCs w:val="24"/>
        </w:rPr>
        <w:t>, 1982, Cambridge University Press: Cambridge</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Schumacher E.F.,</w:t>
      </w:r>
      <w:r w:rsidRPr="00722FB9">
        <w:rPr>
          <w:rFonts w:cstheme="minorHAnsi"/>
          <w:i/>
          <w:sz w:val="24"/>
          <w:szCs w:val="24"/>
        </w:rPr>
        <w:t xml:space="preserve"> Small is Beautiful</w:t>
      </w:r>
      <w:r w:rsidRPr="00722FB9">
        <w:rPr>
          <w:rFonts w:cstheme="minorHAnsi"/>
          <w:sz w:val="24"/>
          <w:szCs w:val="24"/>
        </w:rPr>
        <w:t>, 1989, Harper Perennial: London</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Taylor C., </w:t>
      </w:r>
      <w:r w:rsidRPr="00722FB9">
        <w:rPr>
          <w:rFonts w:cstheme="minorHAnsi"/>
          <w:i/>
          <w:sz w:val="24"/>
          <w:szCs w:val="24"/>
        </w:rPr>
        <w:t>Philosophy and the Human Sciences: Philosophical Papers Vol. 2</w:t>
      </w:r>
      <w:r w:rsidRPr="00722FB9">
        <w:rPr>
          <w:rFonts w:cstheme="minorHAnsi"/>
          <w:sz w:val="24"/>
          <w:szCs w:val="24"/>
        </w:rPr>
        <w:t>, 1985, Cambridge University Press: Cambridge</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Walzer M., </w:t>
      </w:r>
      <w:r w:rsidRPr="00722FB9">
        <w:rPr>
          <w:rFonts w:cstheme="minorHAnsi"/>
          <w:i/>
          <w:sz w:val="24"/>
          <w:szCs w:val="24"/>
        </w:rPr>
        <w:t>Spheres of Justice</w:t>
      </w:r>
      <w:r w:rsidRPr="00722FB9">
        <w:rPr>
          <w:rFonts w:cstheme="minorHAnsi"/>
          <w:sz w:val="24"/>
          <w:szCs w:val="24"/>
        </w:rPr>
        <w:t>, 1983, Basic Books: New York</w:t>
      </w:r>
    </w:p>
    <w:p w:rsidR="00DC5D59" w:rsidRPr="00722FB9" w:rsidRDefault="00DC5D59" w:rsidP="005E10A2">
      <w:pPr>
        <w:spacing w:line="480" w:lineRule="auto"/>
        <w:jc w:val="both"/>
        <w:rPr>
          <w:rFonts w:cstheme="minorHAnsi"/>
          <w:sz w:val="24"/>
          <w:szCs w:val="24"/>
        </w:rPr>
      </w:pPr>
      <w:r w:rsidRPr="00722FB9">
        <w:rPr>
          <w:rFonts w:cstheme="minorHAnsi"/>
          <w:sz w:val="24"/>
          <w:szCs w:val="24"/>
        </w:rPr>
        <w:t xml:space="preserve">Warburton D., ed., </w:t>
      </w:r>
      <w:r w:rsidRPr="00722FB9">
        <w:rPr>
          <w:rFonts w:cstheme="minorHAnsi"/>
          <w:i/>
          <w:sz w:val="24"/>
          <w:szCs w:val="24"/>
        </w:rPr>
        <w:t>Community and Sustainable Development</w:t>
      </w:r>
      <w:r w:rsidRPr="00722FB9">
        <w:rPr>
          <w:rFonts w:cstheme="minorHAnsi"/>
          <w:sz w:val="24"/>
          <w:szCs w:val="24"/>
        </w:rPr>
        <w:t>, 1998, Earthscan: London</w:t>
      </w:r>
    </w:p>
    <w:p w:rsidR="00DC5D59" w:rsidRPr="00722FB9" w:rsidRDefault="00DC5D59" w:rsidP="005E10A2">
      <w:pPr>
        <w:spacing w:line="480" w:lineRule="auto"/>
        <w:jc w:val="both"/>
        <w:rPr>
          <w:rFonts w:cstheme="minorHAnsi"/>
          <w:sz w:val="24"/>
          <w:szCs w:val="24"/>
        </w:rPr>
      </w:pPr>
      <w:r w:rsidRPr="00722FB9">
        <w:rPr>
          <w:rFonts w:cstheme="minorHAnsi"/>
          <w:i/>
          <w:sz w:val="24"/>
          <w:szCs w:val="24"/>
        </w:rPr>
        <w:t xml:space="preserve">Our Common Future, </w:t>
      </w:r>
      <w:r w:rsidRPr="00722FB9">
        <w:rPr>
          <w:rFonts w:cstheme="minorHAnsi"/>
          <w:sz w:val="24"/>
          <w:szCs w:val="24"/>
        </w:rPr>
        <w:t>World Commission on Environment and Development (WCED), 1987, Oxford University Press: Oxford</w:t>
      </w:r>
    </w:p>
    <w:p w:rsidR="00DC5D59" w:rsidRPr="00722FB9" w:rsidRDefault="00DC5D59" w:rsidP="005E10A2">
      <w:pPr>
        <w:spacing w:line="480" w:lineRule="auto"/>
        <w:jc w:val="both"/>
        <w:rPr>
          <w:rFonts w:cstheme="minorHAnsi"/>
          <w:sz w:val="24"/>
          <w:szCs w:val="24"/>
        </w:rPr>
      </w:pPr>
    </w:p>
    <w:p w:rsidR="00DC5D59" w:rsidRPr="00722FB9" w:rsidRDefault="00DC5D59" w:rsidP="005E10A2">
      <w:pPr>
        <w:spacing w:after="0" w:line="480" w:lineRule="auto"/>
        <w:contextualSpacing/>
        <w:jc w:val="both"/>
        <w:rPr>
          <w:rFonts w:eastAsia="Times New Roman" w:cstheme="minorHAnsi"/>
          <w:color w:val="000000"/>
          <w:sz w:val="24"/>
          <w:szCs w:val="24"/>
          <w:lang w:eastAsia="en-US"/>
        </w:rPr>
      </w:pPr>
    </w:p>
    <w:p w:rsidR="00AD518A" w:rsidRPr="00722FB9" w:rsidRDefault="00AD518A" w:rsidP="005E10A2">
      <w:pPr>
        <w:spacing w:after="0" w:line="480" w:lineRule="auto"/>
        <w:jc w:val="both"/>
        <w:rPr>
          <w:rFonts w:cstheme="minorHAnsi"/>
          <w:sz w:val="24"/>
          <w:szCs w:val="24"/>
        </w:rPr>
      </w:pPr>
      <w:r w:rsidRPr="00722FB9">
        <w:rPr>
          <w:rFonts w:cstheme="minorHAnsi"/>
          <w:sz w:val="24"/>
          <w:szCs w:val="24"/>
        </w:rPr>
        <w:br w:type="page"/>
      </w: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lastRenderedPageBreak/>
        <w:t xml:space="preserve">Appendix 1: A sample of the questionnaire </w:t>
      </w: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noProof/>
          <w:sz w:val="24"/>
          <w:szCs w:val="24"/>
          <w:u w:val="single"/>
        </w:rPr>
        <w:drawing>
          <wp:anchor distT="0" distB="0" distL="114300" distR="114300" simplePos="0" relativeHeight="251659264" behindDoc="0" locked="0" layoutInCell="1" allowOverlap="1" wp14:anchorId="7F47F1A8" wp14:editId="060EADCD">
            <wp:simplePos x="0" y="0"/>
            <wp:positionH relativeFrom="column">
              <wp:posOffset>40615</wp:posOffset>
            </wp:positionH>
            <wp:positionV relativeFrom="paragraph">
              <wp:posOffset>21819</wp:posOffset>
            </wp:positionV>
            <wp:extent cx="5894527" cy="6408166"/>
            <wp:effectExtent l="19050" t="19050" r="10973" b="11684"/>
            <wp:wrapThrough wrapText="bothSides">
              <wp:wrapPolygon edited="0">
                <wp:start x="-70" y="-64"/>
                <wp:lineTo x="-70" y="21639"/>
                <wp:lineTo x="21640" y="21639"/>
                <wp:lineTo x="21640" y="-64"/>
                <wp:lineTo x="-70" y="-64"/>
              </wp:wrapPolygon>
            </wp:wrapThrough>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94527" cy="6408166"/>
                    </a:xfrm>
                    <a:prstGeom prst="rect">
                      <a:avLst/>
                    </a:prstGeom>
                    <a:blipFill>
                      <a:blip r:embed="rId9"/>
                      <a:tile tx="0" ty="0" sx="100000" sy="100000" flip="none" algn="tl"/>
                    </a:blipFill>
                    <a:ln w="9525">
                      <a:solidFill>
                        <a:schemeClr val="tx1"/>
                      </a:solidFill>
                      <a:miter lim="800000"/>
                      <a:headEnd/>
                      <a:tailEnd/>
                    </a:ln>
                  </pic:spPr>
                </pic:pic>
              </a:graphicData>
            </a:graphic>
          </wp:anchor>
        </w:drawing>
      </w: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noProof/>
          <w:sz w:val="24"/>
          <w:szCs w:val="24"/>
          <w:u w:val="single"/>
        </w:rPr>
        <w:drawing>
          <wp:inline distT="0" distB="0" distL="0" distR="0" wp14:anchorId="7C2E3702" wp14:editId="14014802">
            <wp:extent cx="5940425" cy="6794791"/>
            <wp:effectExtent l="19050" t="19050" r="0" b="25109"/>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5942558" cy="6832473"/>
                    </a:xfrm>
                    <a:prstGeom prst="rect">
                      <a:avLst/>
                    </a:prstGeom>
                    <a:noFill/>
                    <a:ln w="9525">
                      <a:solidFill>
                        <a:schemeClr val="tx1"/>
                      </a:solidFill>
                      <a:miter lim="800000"/>
                      <a:headEnd/>
                      <a:tailEnd/>
                    </a:ln>
                  </pic:spPr>
                </pic:pic>
              </a:graphicData>
            </a:graphic>
          </wp:inline>
        </w:drawing>
      </w: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Appendix 2: Comparative figures for Stratford and Streatham Hill</w:t>
      </w: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Table 1: Comparative figures for Stratford and Streatham Hill</w:t>
      </w:r>
    </w:p>
    <w:tbl>
      <w:tblPr>
        <w:tblW w:w="9464" w:type="dxa"/>
        <w:tblLook w:val="04A0" w:firstRow="1" w:lastRow="0" w:firstColumn="1" w:lastColumn="0" w:noHBand="0" w:noVBand="1"/>
      </w:tblPr>
      <w:tblGrid>
        <w:gridCol w:w="5849"/>
        <w:gridCol w:w="1914"/>
        <w:gridCol w:w="1701"/>
      </w:tblGrid>
      <w:tr w:rsidR="00AD518A" w:rsidRPr="00722FB9" w:rsidTr="00363940">
        <w:trPr>
          <w:trHeight w:val="849"/>
        </w:trPr>
        <w:tc>
          <w:tcPr>
            <w:tcW w:w="5849" w:type="dxa"/>
            <w:tcBorders>
              <w:top w:val="nil"/>
              <w:left w:val="nil"/>
              <w:right w:val="single" w:sz="4" w:space="0" w:color="FFFFFF"/>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Cs/>
                <w:color w:val="FFFFFF"/>
                <w:sz w:val="24"/>
                <w:szCs w:val="24"/>
                <w:lang w:val="en-US" w:eastAsia="ru-RU"/>
              </w:rPr>
            </w:pPr>
          </w:p>
        </w:tc>
        <w:tc>
          <w:tcPr>
            <w:tcW w:w="1914" w:type="dxa"/>
            <w:tcBorders>
              <w:top w:val="nil"/>
              <w:left w:val="nil"/>
              <w:right w:val="single" w:sz="4" w:space="0" w:color="FFFFFF"/>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themeColor="background1"/>
                <w:sz w:val="24"/>
                <w:szCs w:val="24"/>
                <w:lang w:val="en-US" w:eastAsia="ru-RU"/>
              </w:rPr>
            </w:pPr>
            <w:r w:rsidRPr="00722FB9">
              <w:rPr>
                <w:rFonts w:eastAsia="Times New Roman" w:cstheme="minorHAnsi"/>
                <w:b/>
                <w:bCs/>
                <w:color w:val="FFFFFF" w:themeColor="background1"/>
                <w:sz w:val="24"/>
                <w:szCs w:val="24"/>
                <w:lang w:eastAsia="ru-RU"/>
              </w:rPr>
              <w:t>Stratford and</w:t>
            </w:r>
          </w:p>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bCs/>
                <w:color w:val="FFFFFF" w:themeColor="background1"/>
                <w:sz w:val="24"/>
                <w:szCs w:val="24"/>
                <w:lang w:eastAsia="ru-RU"/>
              </w:rPr>
              <w:t>New Town</w:t>
            </w:r>
          </w:p>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color w:val="FFFFFF" w:themeColor="background1"/>
                <w:sz w:val="24"/>
                <w:szCs w:val="24"/>
                <w:lang w:eastAsia="ru-RU"/>
              </w:rPr>
              <w:t>Ward</w:t>
            </w:r>
          </w:p>
        </w:tc>
        <w:tc>
          <w:tcPr>
            <w:tcW w:w="1701" w:type="dxa"/>
            <w:tcBorders>
              <w:top w:val="nil"/>
              <w:left w:val="nil"/>
              <w:right w:val="nil"/>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bCs/>
                <w:color w:val="FFFFFF" w:themeColor="background1"/>
                <w:sz w:val="24"/>
                <w:szCs w:val="24"/>
                <w:lang w:eastAsia="ru-RU"/>
              </w:rPr>
              <w:t>Streatham</w:t>
            </w:r>
            <w:r w:rsidRPr="00722FB9">
              <w:rPr>
                <w:rFonts w:eastAsia="Times New Roman" w:cstheme="minorHAnsi"/>
                <w:b/>
                <w:bCs/>
                <w:color w:val="FFFFFF" w:themeColor="background1"/>
                <w:sz w:val="24"/>
                <w:szCs w:val="24"/>
                <w:lang w:val="en-US" w:eastAsia="ru-RU"/>
              </w:rPr>
              <w:t xml:space="preserve"> </w:t>
            </w:r>
            <w:r w:rsidRPr="00722FB9">
              <w:rPr>
                <w:rFonts w:eastAsia="Times New Roman" w:cstheme="minorHAnsi"/>
                <w:b/>
                <w:bCs/>
                <w:color w:val="FFFFFF" w:themeColor="background1"/>
                <w:sz w:val="24"/>
                <w:szCs w:val="24"/>
                <w:lang w:eastAsia="ru-RU"/>
              </w:rPr>
              <w:t>Hill</w:t>
            </w:r>
          </w:p>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color w:val="FFFFFF" w:themeColor="background1"/>
                <w:sz w:val="24"/>
                <w:szCs w:val="24"/>
                <w:lang w:eastAsia="ru-RU"/>
              </w:rPr>
              <w:t>Ward</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2001 Population: All people (count)</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12378</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13359</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Age Group (percentage)</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 xml:space="preserve">People aged aged 24 and under </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39%</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30%</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People aged 25-29</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11%</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14%</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People aged 30-44</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25%</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30%</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People aged 45-59</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12%</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14%</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People aged 60 and over</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13%</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13%</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Mean age of population in the area (year)</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eastAsia="ru-RU"/>
              </w:rPr>
              <w:t>32.46</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eastAsia="ru-RU"/>
              </w:rPr>
              <w:t>34.42</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Median age of population in the area (year)</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eastAsia="ru-RU"/>
              </w:rPr>
              <w:t xml:space="preserve">30 </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eastAsia="ru-RU"/>
              </w:rPr>
              <w:t>32</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Gender (percentage)</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2001 Population: Males</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48%</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49%</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lastRenderedPageBreak/>
              <w:t>2001 Population: Females</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52%</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51%</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Ethinic Group (percentage)</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White</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45%</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68%</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Mixed</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4%</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5%</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Asian</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18%</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4%</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Black</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30%</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21%</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Chinese</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National Statistics Socio-economic Classification (UV31)</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b/>
                <w:color w:val="FFFFFF" w:themeColor="background1"/>
                <w:sz w:val="24"/>
                <w:szCs w:val="24"/>
                <w:lang w:eastAsia="ru-RU"/>
              </w:rPr>
            </w:pP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b/>
                <w:color w:val="FFFFFF" w:themeColor="background1"/>
                <w:sz w:val="24"/>
                <w:szCs w:val="24"/>
                <w:lang w:val="en-US" w:eastAsia="ru-RU"/>
              </w:rPr>
            </w:pP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All People (between age 16-74)</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8904</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10399</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1. Higher managerial and professional occupations</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7%</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13%</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2. Lower managerial and professional occupations</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17%</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28%</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 Intermediate occupations</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9%</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10%</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4. Small employers and own account workers</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6%</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5. Lower supervisory and technical occupations</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5%</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4%</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6. Semi-routine occupations</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12%</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8%</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7. Routine occupations</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8%</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5%</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8. Never worked and long-term unemployed</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11%</w:t>
            </w: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6%</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Not Classified</w:t>
            </w: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27%</w:t>
            </w: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19%</w:t>
            </w: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National Statistics Socio-economic Classification (UV31)</w:t>
            </w:r>
          </w:p>
        </w:tc>
        <w:tc>
          <w:tcPr>
            <w:tcW w:w="1914"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c>
          <w:tcPr>
            <w:tcW w:w="1701"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r>
      <w:tr w:rsidR="00AD518A" w:rsidRPr="00722FB9" w:rsidTr="00363940">
        <w:trPr>
          <w:trHeight w:val="259"/>
        </w:trPr>
        <w:tc>
          <w:tcPr>
            <w:tcW w:w="5849"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c>
          <w:tcPr>
            <w:tcW w:w="1914"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c>
          <w:tcPr>
            <w:tcW w:w="1701"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r>
      <w:tr w:rsidR="00AD518A" w:rsidRPr="00722FB9" w:rsidTr="00363940">
        <w:trPr>
          <w:trHeight w:val="259"/>
        </w:trPr>
        <w:tc>
          <w:tcPr>
            <w:tcW w:w="5849" w:type="dxa"/>
            <w:tcBorders>
              <w:top w:val="nil"/>
              <w:left w:val="nil"/>
              <w:bottom w:val="nil"/>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c>
          <w:tcPr>
            <w:tcW w:w="1914" w:type="dxa"/>
            <w:tcBorders>
              <w:top w:val="nil"/>
              <w:left w:val="nil"/>
              <w:bottom w:val="nil"/>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c>
          <w:tcPr>
            <w:tcW w:w="1701" w:type="dxa"/>
            <w:tcBorders>
              <w:top w:val="nil"/>
              <w:left w:val="nil"/>
              <w:bottom w:val="nil"/>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r>
    </w:tbl>
    <w:p w:rsidR="00AD518A" w:rsidRPr="00722FB9" w:rsidRDefault="00AD518A" w:rsidP="005E10A2">
      <w:pPr>
        <w:pStyle w:val="ListParagraph"/>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 xml:space="preserve">*Source: Neighbourhood Statistics in 2001 National Census. </w:t>
      </w:r>
    </w:p>
    <w:tbl>
      <w:tblPr>
        <w:tblW w:w="8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505"/>
      </w:tblGrid>
      <w:tr w:rsidR="00AD518A" w:rsidRPr="00722FB9" w:rsidTr="00363940">
        <w:trPr>
          <w:cantSplit/>
        </w:trPr>
        <w:tc>
          <w:tcPr>
            <w:tcW w:w="8505" w:type="dxa"/>
            <w:tcBorders>
              <w:top w:val="nil"/>
              <w:left w:val="nil"/>
              <w:bottom w:val="nil"/>
              <w:right w:val="nil"/>
            </w:tcBorders>
            <w:shd w:val="clear" w:color="auto" w:fill="FFFFFF"/>
          </w:tcPr>
          <w:tbl>
            <w:tblPr>
              <w:tblW w:w="8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422"/>
              <w:gridCol w:w="1336"/>
              <w:gridCol w:w="1335"/>
              <w:gridCol w:w="1469"/>
              <w:gridCol w:w="1019"/>
              <w:gridCol w:w="1190"/>
            </w:tblGrid>
            <w:tr w:rsidR="00AD518A" w:rsidRPr="00722FB9" w:rsidTr="00363940">
              <w:trPr>
                <w:cantSplit/>
                <w:tblHeader/>
              </w:trPr>
              <w:tc>
                <w:tcPr>
                  <w:tcW w:w="8505" w:type="dxa"/>
                  <w:gridSpan w:val="7"/>
                  <w:tcBorders>
                    <w:top w:val="nil"/>
                    <w:left w:val="nil"/>
                    <w:bottom w:val="nil"/>
                    <w:right w:val="nil"/>
                  </w:tcBorders>
                  <w:shd w:val="clear" w:color="auto" w:fill="FFFFFF"/>
                  <w:vAlign w:val="center"/>
                </w:tcPr>
                <w:p w:rsidR="00AD518A" w:rsidRPr="00722FB9" w:rsidRDefault="00AD518A" w:rsidP="005E10A2">
                  <w:pPr>
                    <w:autoSpaceDE w:val="0"/>
                    <w:autoSpaceDN w:val="0"/>
                    <w:adjustRightInd w:val="0"/>
                    <w:spacing w:line="480" w:lineRule="auto"/>
                    <w:ind w:right="60"/>
                    <w:jc w:val="both"/>
                    <w:rPr>
                      <w:rFonts w:cstheme="minorHAnsi"/>
                      <w:b/>
                      <w:sz w:val="24"/>
                      <w:szCs w:val="24"/>
                      <w:u w:val="single"/>
                      <w:lang w:val="en-US"/>
                    </w:rPr>
                  </w:pPr>
                  <w:r w:rsidRPr="00722FB9">
                    <w:rPr>
                      <w:rFonts w:cstheme="minorHAnsi"/>
                      <w:b/>
                      <w:sz w:val="24"/>
                      <w:szCs w:val="24"/>
                      <w:u w:val="single"/>
                      <w:lang w:val="en-US"/>
                    </w:rPr>
                    <w:lastRenderedPageBreak/>
                    <w:t xml:space="preserve">Appendix 3: Regression tables </w:t>
                  </w:r>
                </w:p>
                <w:p w:rsidR="00AD518A" w:rsidRPr="00722FB9" w:rsidRDefault="00AD518A" w:rsidP="005E10A2">
                  <w:pPr>
                    <w:autoSpaceDE w:val="0"/>
                    <w:autoSpaceDN w:val="0"/>
                    <w:adjustRightInd w:val="0"/>
                    <w:spacing w:line="480" w:lineRule="auto"/>
                    <w:ind w:right="60"/>
                    <w:jc w:val="both"/>
                    <w:rPr>
                      <w:rFonts w:cstheme="minorHAnsi"/>
                      <w:b/>
                      <w:sz w:val="24"/>
                      <w:szCs w:val="24"/>
                      <w:u w:val="single"/>
                      <w:lang w:val="en-US"/>
                    </w:rPr>
                  </w:pPr>
                  <w:r w:rsidRPr="00722FB9">
                    <w:rPr>
                      <w:rFonts w:cstheme="minorHAnsi"/>
                      <w:b/>
                      <w:sz w:val="24"/>
                      <w:szCs w:val="24"/>
                      <w:u w:val="single"/>
                      <w:lang w:val="en-US"/>
                    </w:rPr>
                    <w:t xml:space="preserve">Table 1 </w:t>
                  </w:r>
                </w:p>
                <w:p w:rsidR="00AD518A" w:rsidRPr="00722FB9" w:rsidRDefault="00AD518A" w:rsidP="005E10A2">
                  <w:pPr>
                    <w:autoSpaceDE w:val="0"/>
                    <w:autoSpaceDN w:val="0"/>
                    <w:adjustRightInd w:val="0"/>
                    <w:spacing w:line="480" w:lineRule="auto"/>
                    <w:ind w:right="60"/>
                    <w:jc w:val="both"/>
                    <w:rPr>
                      <w:rFonts w:cstheme="minorHAnsi"/>
                      <w:b/>
                      <w:color w:val="000000"/>
                      <w:sz w:val="24"/>
                      <w:szCs w:val="24"/>
                    </w:rPr>
                  </w:pPr>
                  <w:r w:rsidRPr="00722FB9">
                    <w:rPr>
                      <w:rFonts w:cstheme="minorHAnsi"/>
                      <w:b/>
                      <w:bCs/>
                      <w:color w:val="000000"/>
                      <w:sz w:val="24"/>
                      <w:szCs w:val="24"/>
                    </w:rPr>
                    <w:t>Coefficients</w:t>
                  </w:r>
                  <w:r w:rsidRPr="00722FB9">
                    <w:rPr>
                      <w:rFonts w:cstheme="minorHAnsi"/>
                      <w:b/>
                      <w:bCs/>
                      <w:color w:val="000000"/>
                      <w:sz w:val="24"/>
                      <w:szCs w:val="24"/>
                      <w:vertAlign w:val="superscript"/>
                    </w:rPr>
                    <w:t xml:space="preserve"> </w:t>
                  </w:r>
                  <w:r w:rsidRPr="00722FB9">
                    <w:rPr>
                      <w:rFonts w:cstheme="minorHAnsi"/>
                      <w:b/>
                      <w:color w:val="000000"/>
                      <w:sz w:val="24"/>
                      <w:szCs w:val="24"/>
                    </w:rPr>
                    <w:t>(dependent variable: CSI)</w:t>
                  </w:r>
                </w:p>
              </w:tc>
            </w:tr>
            <w:tr w:rsidR="00AD518A" w:rsidRPr="00722FB9" w:rsidTr="00363940">
              <w:trPr>
                <w:cantSplit/>
                <w:tblHeader/>
              </w:trPr>
              <w:tc>
                <w:tcPr>
                  <w:tcW w:w="2156" w:type="dxa"/>
                  <w:gridSpan w:val="2"/>
                  <w:vMerge w:val="restart"/>
                  <w:tcBorders>
                    <w:top w:val="single" w:sz="16" w:space="0" w:color="000000"/>
                    <w:left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Model</w:t>
                  </w:r>
                </w:p>
              </w:tc>
              <w:tc>
                <w:tcPr>
                  <w:tcW w:w="2671" w:type="dxa"/>
                  <w:gridSpan w:val="2"/>
                  <w:tcBorders>
                    <w:top w:val="single" w:sz="16" w:space="0" w:color="000000"/>
                    <w:lef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Unstandardized Coefficients</w:t>
                  </w:r>
                </w:p>
              </w:tc>
              <w:tc>
                <w:tcPr>
                  <w:tcW w:w="1469" w:type="dxa"/>
                  <w:tcBorders>
                    <w:top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Standardized Coefficients</w:t>
                  </w:r>
                </w:p>
              </w:tc>
              <w:tc>
                <w:tcPr>
                  <w:tcW w:w="1019" w:type="dxa"/>
                  <w:vMerge w:val="restart"/>
                  <w:tcBorders>
                    <w:top w:val="single" w:sz="16" w:space="0" w:color="000000"/>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t-test value</w:t>
                  </w:r>
                </w:p>
              </w:tc>
              <w:tc>
                <w:tcPr>
                  <w:tcW w:w="1190" w:type="dxa"/>
                  <w:vMerge w:val="restart"/>
                  <w:tcBorders>
                    <w:top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Significance</w:t>
                  </w:r>
                </w:p>
              </w:tc>
            </w:tr>
            <w:tr w:rsidR="00AD518A" w:rsidRPr="00722FB9" w:rsidTr="00363940">
              <w:trPr>
                <w:cantSplit/>
                <w:tblHeader/>
              </w:trPr>
              <w:tc>
                <w:tcPr>
                  <w:tcW w:w="2156" w:type="dxa"/>
                  <w:gridSpan w:val="2"/>
                  <w:vMerge/>
                  <w:tcBorders>
                    <w:top w:val="single" w:sz="16" w:space="0" w:color="000000"/>
                    <w:left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336" w:type="dxa"/>
                  <w:tcBorders>
                    <w:left w:val="single" w:sz="16" w:space="0" w:color="000000"/>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B</w:t>
                  </w:r>
                </w:p>
              </w:tc>
              <w:tc>
                <w:tcPr>
                  <w:tcW w:w="1335" w:type="dxa"/>
                  <w:tcBorders>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Std. Error</w:t>
                  </w:r>
                </w:p>
              </w:tc>
              <w:tc>
                <w:tcPr>
                  <w:tcW w:w="1469" w:type="dxa"/>
                  <w:tcBorders>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Beta</w:t>
                  </w:r>
                </w:p>
              </w:tc>
              <w:tc>
                <w:tcPr>
                  <w:tcW w:w="1019" w:type="dxa"/>
                  <w:vMerge/>
                  <w:tcBorders>
                    <w:top w:val="single" w:sz="16" w:space="0" w:color="000000"/>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190" w:type="dxa"/>
                  <w:vMerge/>
                  <w:tcBorders>
                    <w:top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jc w:val="both"/>
                    <w:rPr>
                      <w:rFonts w:cstheme="minorHAnsi"/>
                      <w:sz w:val="24"/>
                      <w:szCs w:val="24"/>
                    </w:rPr>
                  </w:pPr>
                </w:p>
              </w:tc>
            </w:tr>
            <w:tr w:rsidR="00AD518A" w:rsidRPr="00722FB9" w:rsidTr="00363940">
              <w:trPr>
                <w:cantSplit/>
                <w:tblHeader/>
              </w:trPr>
              <w:tc>
                <w:tcPr>
                  <w:tcW w:w="734" w:type="dxa"/>
                  <w:vMerge w:val="restart"/>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p>
              </w:tc>
              <w:tc>
                <w:tcPr>
                  <w:tcW w:w="1422" w:type="dxa"/>
                  <w:tcBorders>
                    <w:top w:val="single" w:sz="16" w:space="0" w:color="000000"/>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(Constant)</w:t>
                  </w:r>
                </w:p>
              </w:tc>
              <w:tc>
                <w:tcPr>
                  <w:tcW w:w="1336" w:type="dxa"/>
                  <w:tcBorders>
                    <w:top w:val="single" w:sz="16" w:space="0" w:color="000000"/>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9.619</w:t>
                  </w:r>
                </w:p>
              </w:tc>
              <w:tc>
                <w:tcPr>
                  <w:tcW w:w="1335" w:type="dxa"/>
                  <w:tcBorders>
                    <w:top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2.036</w:t>
                  </w:r>
                </w:p>
              </w:tc>
              <w:tc>
                <w:tcPr>
                  <w:tcW w:w="1469" w:type="dxa"/>
                  <w:tcBorders>
                    <w:top w:val="single" w:sz="16" w:space="0" w:color="000000"/>
                    <w:bottom w:val="nil"/>
                  </w:tcBorders>
                  <w:shd w:val="clear" w:color="auto" w:fill="FFFFFF"/>
                  <w:vAlign w:val="center"/>
                </w:tcPr>
                <w:p w:rsidR="00AD518A" w:rsidRPr="00722FB9" w:rsidRDefault="00AD518A" w:rsidP="005E10A2">
                  <w:pPr>
                    <w:autoSpaceDE w:val="0"/>
                    <w:autoSpaceDN w:val="0"/>
                    <w:adjustRightInd w:val="0"/>
                    <w:spacing w:line="480" w:lineRule="auto"/>
                    <w:jc w:val="both"/>
                    <w:rPr>
                      <w:rFonts w:cstheme="minorHAnsi"/>
                      <w:sz w:val="24"/>
                      <w:szCs w:val="24"/>
                    </w:rPr>
                  </w:pPr>
                </w:p>
              </w:tc>
              <w:tc>
                <w:tcPr>
                  <w:tcW w:w="1019" w:type="dxa"/>
                  <w:tcBorders>
                    <w:top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4.724</w:t>
                  </w:r>
                </w:p>
              </w:tc>
              <w:tc>
                <w:tcPr>
                  <w:tcW w:w="1190" w:type="dxa"/>
                  <w:tcBorders>
                    <w:top w:val="single" w:sz="16" w:space="0" w:color="000000"/>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.000</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Location</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-.896</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.847</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-.112</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-1.058</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.294</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Age_1</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-2.797</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2.794</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-.267</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-1.001</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.320</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Age_2</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-2.959</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2.741</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-.338</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-1.079</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.284</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Age_3</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-.670</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2.802</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-.067</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-.239</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.812</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Age_4</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-.490</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2.863</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-.040</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-.171</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.865</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Age_5</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2.065</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2.897</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.174</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.713</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.478</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Gender_1</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.310</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3.262</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.038</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.095</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.925</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Gender_2</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1.148</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3.338</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.143</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.344</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.732</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Ethnicity_1</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1.712</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2.085</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.214</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.821</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.415</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Ethnicity_2</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1.279</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2.291</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.099</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.558</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.579</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Ethnicity_3</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4.510</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2.484</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.311</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1.816</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.074</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Ethnicity_4</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2.713</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2.172</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.245</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1.249</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.216</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Ethnicity_5</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.330</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4.048</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.009</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.081</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.935</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Ethnicity_6</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.160</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3.199</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.006</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.050</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.960</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Ethnicity_7</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.948</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4.081</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.026</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.232</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.817</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single" w:sz="16" w:space="0" w:color="000000"/>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Duration (yrs)</w:t>
                  </w:r>
                </w:p>
              </w:tc>
              <w:tc>
                <w:tcPr>
                  <w:tcW w:w="1336" w:type="dxa"/>
                  <w:tcBorders>
                    <w:top w:val="nil"/>
                    <w:left w:val="single" w:sz="16" w:space="0" w:color="000000"/>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.088</w:t>
                  </w:r>
                </w:p>
              </w:tc>
              <w:tc>
                <w:tcPr>
                  <w:tcW w:w="1335" w:type="dxa"/>
                  <w:tcBorders>
                    <w:top w:val="nil"/>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.033</w:t>
                  </w:r>
                </w:p>
              </w:tc>
              <w:tc>
                <w:tcPr>
                  <w:tcW w:w="1469" w:type="dxa"/>
                  <w:tcBorders>
                    <w:top w:val="nil"/>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.308</w:t>
                  </w:r>
                </w:p>
              </w:tc>
              <w:tc>
                <w:tcPr>
                  <w:tcW w:w="1019" w:type="dxa"/>
                  <w:tcBorders>
                    <w:top w:val="nil"/>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2.630</w:t>
                  </w:r>
                </w:p>
              </w:tc>
              <w:tc>
                <w:tcPr>
                  <w:tcW w:w="1190" w:type="dxa"/>
                  <w:tcBorders>
                    <w:top w:val="nil"/>
                    <w:bottom w:val="single" w:sz="16" w:space="0" w:color="000000"/>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.011</w:t>
                  </w:r>
                </w:p>
              </w:tc>
            </w:tr>
            <w:tr w:rsidR="00AD518A" w:rsidRPr="00722FB9" w:rsidTr="00363940">
              <w:trPr>
                <w:cantSplit/>
              </w:trPr>
              <w:tc>
                <w:tcPr>
                  <w:tcW w:w="8505" w:type="dxa"/>
                  <w:gridSpan w:val="7"/>
                  <w:tcBorders>
                    <w:top w:val="nil"/>
                    <w:left w:val="nil"/>
                    <w:bottom w:val="nil"/>
                    <w:right w:val="nil"/>
                  </w:tcBorders>
                  <w:shd w:val="clear" w:color="auto" w:fill="FFFFFF"/>
                </w:tcPr>
                <w:p w:rsidR="00AD518A" w:rsidRPr="00722FB9" w:rsidRDefault="00AD518A" w:rsidP="005E10A2">
                  <w:pPr>
                    <w:pStyle w:val="ListParagraph"/>
                    <w:autoSpaceDE w:val="0"/>
                    <w:autoSpaceDN w:val="0"/>
                    <w:adjustRightInd w:val="0"/>
                    <w:spacing w:line="480" w:lineRule="auto"/>
                    <w:ind w:left="1140" w:right="60"/>
                    <w:jc w:val="both"/>
                    <w:rPr>
                      <w:rFonts w:cstheme="minorHAnsi"/>
                      <w:b/>
                      <w:color w:val="000000"/>
                      <w:sz w:val="24"/>
                      <w:szCs w:val="24"/>
                      <w:lang w:val="en-GB"/>
                    </w:rPr>
                  </w:pPr>
                </w:p>
                <w:p w:rsidR="00AD518A" w:rsidRPr="00722FB9" w:rsidRDefault="00AD518A" w:rsidP="005E10A2">
                  <w:pPr>
                    <w:pStyle w:val="ListParagraph"/>
                    <w:autoSpaceDE w:val="0"/>
                    <w:autoSpaceDN w:val="0"/>
                    <w:adjustRightInd w:val="0"/>
                    <w:spacing w:line="480" w:lineRule="auto"/>
                    <w:ind w:left="1140" w:right="60"/>
                    <w:jc w:val="both"/>
                    <w:rPr>
                      <w:rFonts w:cstheme="minorHAnsi"/>
                      <w:b/>
                      <w:color w:val="000000"/>
                      <w:sz w:val="24"/>
                      <w:szCs w:val="24"/>
                      <w:lang w:val="en-GB"/>
                    </w:rPr>
                  </w:pPr>
                </w:p>
                <w:p w:rsidR="00AD518A" w:rsidRPr="00722FB9" w:rsidRDefault="00AD518A" w:rsidP="005E10A2">
                  <w:pPr>
                    <w:pStyle w:val="ListParagraph"/>
                    <w:autoSpaceDE w:val="0"/>
                    <w:autoSpaceDN w:val="0"/>
                    <w:adjustRightInd w:val="0"/>
                    <w:spacing w:line="480" w:lineRule="auto"/>
                    <w:ind w:left="1140" w:right="60"/>
                    <w:jc w:val="both"/>
                    <w:rPr>
                      <w:rFonts w:cstheme="minorHAnsi"/>
                      <w:b/>
                      <w:color w:val="000000"/>
                      <w:sz w:val="24"/>
                      <w:szCs w:val="24"/>
                      <w:lang w:val="en-GB"/>
                    </w:rPr>
                  </w:pPr>
                </w:p>
                <w:p w:rsidR="00AD518A" w:rsidRPr="00722FB9" w:rsidRDefault="00AD518A" w:rsidP="005E10A2">
                  <w:pPr>
                    <w:pStyle w:val="ListParagraph"/>
                    <w:autoSpaceDE w:val="0"/>
                    <w:autoSpaceDN w:val="0"/>
                    <w:adjustRightInd w:val="0"/>
                    <w:spacing w:line="480" w:lineRule="auto"/>
                    <w:ind w:left="1140" w:right="60"/>
                    <w:jc w:val="both"/>
                    <w:rPr>
                      <w:rFonts w:cstheme="minorHAnsi"/>
                      <w:b/>
                      <w:color w:val="000000"/>
                      <w:sz w:val="24"/>
                      <w:szCs w:val="24"/>
                      <w:lang w:val="en-GB"/>
                    </w:rPr>
                  </w:pPr>
                </w:p>
              </w:tc>
            </w:tr>
          </w:tbl>
          <w:p w:rsidR="00AD518A" w:rsidRPr="00722FB9" w:rsidRDefault="00AD518A" w:rsidP="005E10A2">
            <w:pPr>
              <w:pStyle w:val="ListParagraph"/>
              <w:autoSpaceDE w:val="0"/>
              <w:autoSpaceDN w:val="0"/>
              <w:adjustRightInd w:val="0"/>
              <w:spacing w:line="480" w:lineRule="auto"/>
              <w:ind w:left="1140" w:right="60"/>
              <w:jc w:val="both"/>
              <w:rPr>
                <w:rFonts w:cstheme="minorHAnsi"/>
                <w:b/>
                <w:color w:val="000000"/>
                <w:sz w:val="24"/>
                <w:szCs w:val="24"/>
                <w:lang w:val="en-GB"/>
              </w:rPr>
            </w:pPr>
          </w:p>
        </w:tc>
      </w:tr>
    </w:tbl>
    <w:tbl>
      <w:tblPr>
        <w:tblStyle w:val="TableGrid"/>
        <w:tblW w:w="9537" w:type="dxa"/>
        <w:tblLayout w:type="fixed"/>
        <w:tblLook w:val="04A0" w:firstRow="1" w:lastRow="0" w:firstColumn="1" w:lastColumn="0" w:noHBand="0" w:noVBand="1"/>
      </w:tblPr>
      <w:tblGrid>
        <w:gridCol w:w="4768"/>
        <w:gridCol w:w="4769"/>
      </w:tblGrid>
      <w:tr w:rsidR="00AD518A" w:rsidRPr="00722FB9" w:rsidTr="00363940">
        <w:trPr>
          <w:trHeight w:val="187"/>
        </w:trPr>
        <w:tc>
          <w:tcPr>
            <w:tcW w:w="4768" w:type="dxa"/>
          </w:tcPr>
          <w:p w:rsidR="00AD518A" w:rsidRPr="00722FB9" w:rsidRDefault="00AD518A" w:rsidP="005E10A2">
            <w:pPr>
              <w:spacing w:line="480" w:lineRule="auto"/>
              <w:jc w:val="both"/>
              <w:rPr>
                <w:rFonts w:cstheme="minorHAnsi"/>
                <w:b/>
                <w:sz w:val="24"/>
                <w:szCs w:val="24"/>
                <w:u w:val="single"/>
                <w:lang w:val="en-US"/>
              </w:rPr>
            </w:pPr>
            <w:r w:rsidRPr="00722FB9">
              <w:rPr>
                <w:rFonts w:cstheme="minorHAnsi"/>
                <w:color w:val="000000"/>
                <w:sz w:val="24"/>
                <w:szCs w:val="24"/>
                <w:lang w:val="en-GB"/>
              </w:rPr>
              <w:lastRenderedPageBreak/>
              <w:t xml:space="preserve">Age_1 is the age group under 25 years old                               </w:t>
            </w:r>
          </w:p>
        </w:tc>
        <w:tc>
          <w:tcPr>
            <w:tcW w:w="4769" w:type="dxa"/>
          </w:tcPr>
          <w:p w:rsidR="00AD518A" w:rsidRPr="00722FB9" w:rsidRDefault="00AD518A" w:rsidP="005E10A2">
            <w:pPr>
              <w:spacing w:line="480" w:lineRule="auto"/>
              <w:jc w:val="both"/>
              <w:rPr>
                <w:rFonts w:cstheme="minorHAnsi"/>
                <w:b/>
                <w:sz w:val="24"/>
                <w:szCs w:val="24"/>
                <w:u w:val="single"/>
                <w:lang w:val="en-US"/>
              </w:rPr>
            </w:pPr>
            <w:r w:rsidRPr="00722FB9">
              <w:rPr>
                <w:rFonts w:cstheme="minorHAnsi"/>
                <w:color w:val="000000"/>
                <w:sz w:val="24"/>
                <w:szCs w:val="24"/>
                <w:lang w:val="en-GB"/>
              </w:rPr>
              <w:t xml:space="preserve">Ethnicity_1 is  White  </w:t>
            </w:r>
          </w:p>
        </w:tc>
      </w:tr>
      <w:tr w:rsidR="00AD518A" w:rsidRPr="00722FB9" w:rsidTr="00363940">
        <w:trPr>
          <w:trHeight w:val="187"/>
        </w:trPr>
        <w:tc>
          <w:tcPr>
            <w:tcW w:w="4768" w:type="dxa"/>
          </w:tcPr>
          <w:p w:rsidR="00AD518A" w:rsidRPr="00722FB9" w:rsidRDefault="00AD518A" w:rsidP="005E10A2">
            <w:pPr>
              <w:spacing w:line="480" w:lineRule="auto"/>
              <w:jc w:val="both"/>
              <w:rPr>
                <w:rFonts w:cstheme="minorHAnsi"/>
                <w:b/>
                <w:sz w:val="24"/>
                <w:szCs w:val="24"/>
                <w:u w:val="single"/>
                <w:lang w:val="en-US"/>
              </w:rPr>
            </w:pPr>
            <w:r w:rsidRPr="00722FB9">
              <w:rPr>
                <w:rFonts w:cstheme="minorHAnsi"/>
                <w:color w:val="000000"/>
                <w:sz w:val="24"/>
                <w:szCs w:val="24"/>
                <w:lang w:val="en-GB"/>
              </w:rPr>
              <w:t xml:space="preserve">Age_2 is the age group 25-34                                                    </w:t>
            </w:r>
          </w:p>
        </w:tc>
        <w:tc>
          <w:tcPr>
            <w:tcW w:w="4769" w:type="dxa"/>
          </w:tcPr>
          <w:p w:rsidR="00AD518A" w:rsidRPr="00722FB9" w:rsidRDefault="00AD518A" w:rsidP="005E10A2">
            <w:pPr>
              <w:spacing w:line="480" w:lineRule="auto"/>
              <w:jc w:val="both"/>
              <w:rPr>
                <w:rFonts w:cstheme="minorHAnsi"/>
                <w:b/>
                <w:sz w:val="24"/>
                <w:szCs w:val="24"/>
                <w:u w:val="single"/>
                <w:lang w:val="en-US"/>
              </w:rPr>
            </w:pPr>
            <w:r w:rsidRPr="00722FB9">
              <w:rPr>
                <w:rFonts w:cstheme="minorHAnsi"/>
                <w:color w:val="000000"/>
                <w:sz w:val="24"/>
                <w:szCs w:val="24"/>
                <w:lang w:val="en-GB"/>
              </w:rPr>
              <w:t>Ethnicity_2 is Dual heritages</w:t>
            </w:r>
          </w:p>
        </w:tc>
      </w:tr>
      <w:tr w:rsidR="00AD518A" w:rsidRPr="00722FB9" w:rsidTr="00363940">
        <w:trPr>
          <w:trHeight w:val="178"/>
        </w:trPr>
        <w:tc>
          <w:tcPr>
            <w:tcW w:w="4768" w:type="dxa"/>
          </w:tcPr>
          <w:p w:rsidR="00AD518A" w:rsidRPr="00722FB9" w:rsidRDefault="00AD518A" w:rsidP="005E10A2">
            <w:pPr>
              <w:spacing w:line="480" w:lineRule="auto"/>
              <w:jc w:val="both"/>
              <w:rPr>
                <w:rFonts w:cstheme="minorHAnsi"/>
                <w:sz w:val="24"/>
                <w:szCs w:val="24"/>
                <w:lang w:val="en-US"/>
              </w:rPr>
            </w:pPr>
            <w:r w:rsidRPr="00722FB9">
              <w:rPr>
                <w:rFonts w:cstheme="minorHAnsi"/>
                <w:color w:val="000000"/>
                <w:sz w:val="24"/>
                <w:szCs w:val="24"/>
                <w:lang w:val="en-GB"/>
              </w:rPr>
              <w:t xml:space="preserve">Age_3 is the age group 35-44                                                   </w:t>
            </w:r>
          </w:p>
        </w:tc>
        <w:tc>
          <w:tcPr>
            <w:tcW w:w="4769" w:type="dxa"/>
          </w:tcPr>
          <w:p w:rsidR="00AD518A" w:rsidRPr="00722FB9" w:rsidRDefault="00AD518A" w:rsidP="005E10A2">
            <w:pPr>
              <w:spacing w:line="480" w:lineRule="auto"/>
              <w:jc w:val="both"/>
              <w:rPr>
                <w:rFonts w:cstheme="minorHAnsi"/>
                <w:sz w:val="24"/>
                <w:szCs w:val="24"/>
                <w:lang w:val="en-US"/>
              </w:rPr>
            </w:pPr>
            <w:r w:rsidRPr="00722FB9">
              <w:rPr>
                <w:rFonts w:cstheme="minorHAnsi"/>
                <w:color w:val="000000"/>
                <w:sz w:val="24"/>
                <w:szCs w:val="24"/>
                <w:lang w:val="en-GB"/>
              </w:rPr>
              <w:t>Ethnicity_3 is  Asian or Asian British</w:t>
            </w:r>
          </w:p>
        </w:tc>
      </w:tr>
      <w:tr w:rsidR="00AD518A" w:rsidRPr="00722FB9" w:rsidTr="00363940">
        <w:trPr>
          <w:trHeight w:val="250"/>
        </w:trPr>
        <w:tc>
          <w:tcPr>
            <w:tcW w:w="4768" w:type="dxa"/>
          </w:tcPr>
          <w:p w:rsidR="00AD518A" w:rsidRPr="00722FB9" w:rsidRDefault="00AD518A" w:rsidP="005E10A2">
            <w:pPr>
              <w:spacing w:line="480" w:lineRule="auto"/>
              <w:jc w:val="both"/>
              <w:rPr>
                <w:rFonts w:cstheme="minorHAnsi"/>
                <w:sz w:val="24"/>
                <w:szCs w:val="24"/>
                <w:lang w:val="en-US"/>
              </w:rPr>
            </w:pPr>
            <w:r w:rsidRPr="00722FB9">
              <w:rPr>
                <w:rFonts w:cstheme="minorHAnsi"/>
                <w:color w:val="000000"/>
                <w:sz w:val="24"/>
                <w:szCs w:val="24"/>
                <w:lang w:val="en-GB"/>
              </w:rPr>
              <w:t xml:space="preserve">Age_4 is the age group 45-54                                         </w:t>
            </w:r>
          </w:p>
        </w:tc>
        <w:tc>
          <w:tcPr>
            <w:tcW w:w="4769" w:type="dxa"/>
          </w:tcPr>
          <w:p w:rsidR="00AD518A" w:rsidRPr="00722FB9" w:rsidRDefault="00AD518A" w:rsidP="005E10A2">
            <w:pPr>
              <w:spacing w:line="480" w:lineRule="auto"/>
              <w:jc w:val="both"/>
              <w:rPr>
                <w:rFonts w:cstheme="minorHAnsi"/>
                <w:sz w:val="24"/>
                <w:szCs w:val="24"/>
                <w:lang w:val="en-US"/>
              </w:rPr>
            </w:pPr>
            <w:r w:rsidRPr="00722FB9">
              <w:rPr>
                <w:rFonts w:cstheme="minorHAnsi"/>
                <w:sz w:val="24"/>
                <w:szCs w:val="24"/>
                <w:lang w:val="en-US"/>
              </w:rPr>
              <w:t xml:space="preserve">Ethnicity_4 is Black &amp;Black British </w:t>
            </w:r>
          </w:p>
        </w:tc>
      </w:tr>
      <w:tr w:rsidR="00AD518A" w:rsidRPr="00722FB9" w:rsidTr="00363940">
        <w:trPr>
          <w:trHeight w:val="240"/>
        </w:trPr>
        <w:tc>
          <w:tcPr>
            <w:tcW w:w="4768" w:type="dxa"/>
          </w:tcPr>
          <w:p w:rsidR="00AD518A" w:rsidRPr="00722FB9" w:rsidRDefault="00AD518A" w:rsidP="005E10A2">
            <w:pPr>
              <w:spacing w:line="480" w:lineRule="auto"/>
              <w:jc w:val="both"/>
              <w:rPr>
                <w:rFonts w:cstheme="minorHAnsi"/>
                <w:sz w:val="24"/>
                <w:szCs w:val="24"/>
                <w:lang w:val="en-US"/>
              </w:rPr>
            </w:pPr>
            <w:r w:rsidRPr="00722FB9">
              <w:rPr>
                <w:rFonts w:cstheme="minorHAnsi"/>
                <w:color w:val="000000"/>
                <w:sz w:val="24"/>
                <w:szCs w:val="24"/>
                <w:lang w:val="en-GB"/>
              </w:rPr>
              <w:t xml:space="preserve">Age_5 is the age group above 54                            </w:t>
            </w:r>
          </w:p>
        </w:tc>
        <w:tc>
          <w:tcPr>
            <w:tcW w:w="4769" w:type="dxa"/>
          </w:tcPr>
          <w:p w:rsidR="00AD518A" w:rsidRPr="00722FB9" w:rsidRDefault="00AD518A" w:rsidP="005E10A2">
            <w:pPr>
              <w:spacing w:line="480" w:lineRule="auto"/>
              <w:jc w:val="both"/>
              <w:rPr>
                <w:rFonts w:cstheme="minorHAnsi"/>
                <w:sz w:val="24"/>
                <w:szCs w:val="24"/>
                <w:lang w:val="en-US"/>
              </w:rPr>
            </w:pPr>
            <w:r w:rsidRPr="00722FB9">
              <w:rPr>
                <w:rFonts w:cstheme="minorHAnsi"/>
                <w:sz w:val="24"/>
                <w:szCs w:val="24"/>
                <w:lang w:val="en-US"/>
              </w:rPr>
              <w:t>Ethnicity_5 is East and Southern Asian</w:t>
            </w:r>
          </w:p>
        </w:tc>
      </w:tr>
      <w:tr w:rsidR="00AD518A" w:rsidRPr="00722FB9" w:rsidTr="00363940">
        <w:trPr>
          <w:trHeight w:val="250"/>
        </w:trPr>
        <w:tc>
          <w:tcPr>
            <w:tcW w:w="4768" w:type="dxa"/>
          </w:tcPr>
          <w:p w:rsidR="00AD518A" w:rsidRPr="00722FB9" w:rsidRDefault="00AD518A" w:rsidP="005E10A2">
            <w:pPr>
              <w:spacing w:line="480" w:lineRule="auto"/>
              <w:jc w:val="both"/>
              <w:rPr>
                <w:rFonts w:cstheme="minorHAnsi"/>
                <w:sz w:val="24"/>
                <w:szCs w:val="24"/>
                <w:lang w:val="en-US"/>
              </w:rPr>
            </w:pPr>
            <w:r w:rsidRPr="00722FB9">
              <w:rPr>
                <w:rFonts w:cstheme="minorHAnsi"/>
                <w:color w:val="000000"/>
                <w:sz w:val="24"/>
                <w:szCs w:val="24"/>
                <w:lang w:val="en-GB"/>
              </w:rPr>
              <w:t xml:space="preserve">Gender_1 is males                                                     </w:t>
            </w:r>
          </w:p>
        </w:tc>
        <w:tc>
          <w:tcPr>
            <w:tcW w:w="4769" w:type="dxa"/>
          </w:tcPr>
          <w:p w:rsidR="00AD518A" w:rsidRPr="00722FB9" w:rsidRDefault="00AD518A" w:rsidP="005E10A2">
            <w:pPr>
              <w:spacing w:line="480" w:lineRule="auto"/>
              <w:jc w:val="both"/>
              <w:rPr>
                <w:rFonts w:cstheme="minorHAnsi"/>
                <w:sz w:val="24"/>
                <w:szCs w:val="24"/>
                <w:lang w:val="en-US"/>
              </w:rPr>
            </w:pPr>
            <w:r w:rsidRPr="00722FB9">
              <w:rPr>
                <w:rFonts w:cstheme="minorHAnsi"/>
                <w:sz w:val="24"/>
                <w:szCs w:val="24"/>
                <w:lang w:val="en-US"/>
              </w:rPr>
              <w:t xml:space="preserve">Ethnicity_6 is Middle Eastern or North African </w:t>
            </w:r>
          </w:p>
        </w:tc>
      </w:tr>
      <w:tr w:rsidR="00AD518A" w:rsidRPr="00722FB9" w:rsidTr="00363940">
        <w:trPr>
          <w:trHeight w:val="250"/>
        </w:trPr>
        <w:tc>
          <w:tcPr>
            <w:tcW w:w="4768" w:type="dxa"/>
          </w:tcPr>
          <w:p w:rsidR="00AD518A" w:rsidRPr="00722FB9" w:rsidRDefault="00AD518A" w:rsidP="005E10A2">
            <w:pPr>
              <w:spacing w:line="480" w:lineRule="auto"/>
              <w:jc w:val="both"/>
              <w:rPr>
                <w:rFonts w:cstheme="minorHAnsi"/>
                <w:sz w:val="24"/>
                <w:szCs w:val="24"/>
                <w:lang w:val="en-US"/>
              </w:rPr>
            </w:pPr>
            <w:r w:rsidRPr="00722FB9">
              <w:rPr>
                <w:rFonts w:cstheme="minorHAnsi"/>
                <w:color w:val="000000"/>
                <w:sz w:val="24"/>
                <w:szCs w:val="24"/>
                <w:lang w:val="en-GB"/>
              </w:rPr>
              <w:t>Gender_2 is females</w:t>
            </w:r>
          </w:p>
        </w:tc>
        <w:tc>
          <w:tcPr>
            <w:tcW w:w="4769" w:type="dxa"/>
          </w:tcPr>
          <w:p w:rsidR="00AD518A" w:rsidRPr="00722FB9" w:rsidRDefault="00AD518A" w:rsidP="005E10A2">
            <w:pPr>
              <w:spacing w:line="480" w:lineRule="auto"/>
              <w:jc w:val="both"/>
              <w:rPr>
                <w:rFonts w:cstheme="minorHAnsi"/>
                <w:sz w:val="24"/>
                <w:szCs w:val="24"/>
                <w:lang w:val="en-US"/>
              </w:rPr>
            </w:pPr>
            <w:r w:rsidRPr="00722FB9">
              <w:rPr>
                <w:rFonts w:cstheme="minorHAnsi"/>
                <w:sz w:val="24"/>
                <w:szCs w:val="24"/>
                <w:lang w:val="en-US"/>
              </w:rPr>
              <w:t xml:space="preserve">Ethinicity_7 is Other ethnicity </w:t>
            </w:r>
          </w:p>
        </w:tc>
      </w:tr>
    </w:tbl>
    <w:p w:rsidR="00AD518A" w:rsidRPr="00722FB9" w:rsidRDefault="00AD518A" w:rsidP="005E10A2">
      <w:pPr>
        <w:spacing w:line="480" w:lineRule="auto"/>
        <w:jc w:val="both"/>
        <w:rPr>
          <w:rFonts w:cstheme="minorHAnsi"/>
          <w:b/>
          <w:sz w:val="24"/>
          <w:szCs w:val="24"/>
          <w:u w:val="single"/>
          <w:lang w:val="en-US"/>
        </w:rPr>
      </w:pPr>
    </w:p>
    <w:p w:rsidR="002527DD" w:rsidRPr="00722FB9" w:rsidRDefault="002527DD" w:rsidP="005E10A2">
      <w:pPr>
        <w:spacing w:line="480" w:lineRule="auto"/>
        <w:jc w:val="both"/>
        <w:rPr>
          <w:rFonts w:cstheme="minorHAnsi"/>
          <w:b/>
          <w:sz w:val="24"/>
          <w:szCs w:val="24"/>
          <w:u w:val="single"/>
          <w:lang w:val="en-US"/>
        </w:rPr>
      </w:pPr>
    </w:p>
    <w:p w:rsidR="002527DD" w:rsidRPr="00722FB9" w:rsidRDefault="002527DD" w:rsidP="005E10A2">
      <w:pPr>
        <w:spacing w:after="0" w:line="480" w:lineRule="auto"/>
        <w:jc w:val="both"/>
        <w:rPr>
          <w:rFonts w:cstheme="minorHAnsi"/>
          <w:b/>
          <w:sz w:val="24"/>
          <w:szCs w:val="24"/>
          <w:u w:val="single"/>
          <w:lang w:val="en-US"/>
        </w:rPr>
      </w:pPr>
      <w:r w:rsidRPr="00722FB9">
        <w:rPr>
          <w:rFonts w:cstheme="minorHAnsi"/>
          <w:b/>
          <w:sz w:val="24"/>
          <w:szCs w:val="24"/>
          <w:u w:val="single"/>
          <w:lang w:val="en-US"/>
        </w:rPr>
        <w:br w:type="page"/>
      </w: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lastRenderedPageBreak/>
        <w:t>Table 2</w:t>
      </w:r>
    </w:p>
    <w:tbl>
      <w:tblPr>
        <w:tblW w:w="8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422"/>
        <w:gridCol w:w="1336"/>
        <w:gridCol w:w="1335"/>
        <w:gridCol w:w="1469"/>
        <w:gridCol w:w="1019"/>
        <w:gridCol w:w="1190"/>
      </w:tblGrid>
      <w:tr w:rsidR="00AD518A" w:rsidRPr="00722FB9" w:rsidTr="00363940">
        <w:trPr>
          <w:cantSplit/>
          <w:tblHeader/>
        </w:trPr>
        <w:tc>
          <w:tcPr>
            <w:tcW w:w="8505" w:type="dxa"/>
            <w:gridSpan w:val="7"/>
            <w:tcBorders>
              <w:top w:val="nil"/>
              <w:left w:val="nil"/>
              <w:bottom w:val="nil"/>
              <w:right w:val="nil"/>
            </w:tcBorders>
            <w:shd w:val="clear" w:color="auto" w:fill="FFFFFF"/>
            <w:vAlign w:val="center"/>
          </w:tcPr>
          <w:p w:rsidR="00AD518A" w:rsidRPr="00722FB9" w:rsidRDefault="00AD518A" w:rsidP="005E10A2">
            <w:pPr>
              <w:spacing w:line="480" w:lineRule="auto"/>
              <w:jc w:val="both"/>
              <w:rPr>
                <w:rFonts w:cstheme="minorHAnsi"/>
                <w:b/>
                <w:sz w:val="24"/>
                <w:szCs w:val="24"/>
              </w:rPr>
            </w:pPr>
            <w:r w:rsidRPr="00722FB9">
              <w:rPr>
                <w:rFonts w:cstheme="minorHAnsi"/>
                <w:b/>
                <w:bCs/>
                <w:sz w:val="24"/>
                <w:szCs w:val="24"/>
              </w:rPr>
              <w:t>Coefficients</w:t>
            </w:r>
            <w:r w:rsidRPr="00722FB9">
              <w:rPr>
                <w:rFonts w:cstheme="minorHAnsi"/>
                <w:b/>
                <w:bCs/>
                <w:sz w:val="24"/>
                <w:szCs w:val="24"/>
                <w:vertAlign w:val="superscript"/>
              </w:rPr>
              <w:t xml:space="preserve"> </w:t>
            </w:r>
            <w:r w:rsidRPr="00722FB9">
              <w:rPr>
                <w:rFonts w:cstheme="minorHAnsi"/>
                <w:b/>
                <w:sz w:val="24"/>
                <w:szCs w:val="24"/>
              </w:rPr>
              <w:t>(dependent variable: Q4)</w:t>
            </w:r>
          </w:p>
        </w:tc>
      </w:tr>
      <w:tr w:rsidR="00AD518A" w:rsidRPr="00722FB9" w:rsidTr="00363940">
        <w:trPr>
          <w:cantSplit/>
          <w:tblHeader/>
        </w:trPr>
        <w:tc>
          <w:tcPr>
            <w:tcW w:w="2156" w:type="dxa"/>
            <w:gridSpan w:val="2"/>
            <w:vMerge w:val="restart"/>
            <w:tcBorders>
              <w:top w:val="single" w:sz="16" w:space="0" w:color="000000"/>
              <w:left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r w:rsidRPr="00722FB9">
              <w:rPr>
                <w:rFonts w:cstheme="minorHAnsi"/>
                <w:sz w:val="24"/>
                <w:szCs w:val="24"/>
              </w:rPr>
              <w:t>Model</w:t>
            </w:r>
          </w:p>
        </w:tc>
        <w:tc>
          <w:tcPr>
            <w:tcW w:w="2671" w:type="dxa"/>
            <w:gridSpan w:val="2"/>
            <w:tcBorders>
              <w:top w:val="single" w:sz="16" w:space="0" w:color="000000"/>
              <w:left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r w:rsidRPr="00722FB9">
              <w:rPr>
                <w:rFonts w:cstheme="minorHAnsi"/>
                <w:sz w:val="24"/>
                <w:szCs w:val="24"/>
              </w:rPr>
              <w:t>Unstandardized Coefficients</w:t>
            </w:r>
          </w:p>
        </w:tc>
        <w:tc>
          <w:tcPr>
            <w:tcW w:w="1469" w:type="dxa"/>
            <w:tcBorders>
              <w:top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r w:rsidRPr="00722FB9">
              <w:rPr>
                <w:rFonts w:cstheme="minorHAnsi"/>
                <w:sz w:val="24"/>
                <w:szCs w:val="24"/>
              </w:rPr>
              <w:t>Standardized Coefficients</w:t>
            </w:r>
          </w:p>
        </w:tc>
        <w:tc>
          <w:tcPr>
            <w:tcW w:w="1019" w:type="dxa"/>
            <w:vMerge w:val="restart"/>
            <w:tcBorders>
              <w:top w:val="single" w:sz="16" w:space="0" w:color="000000"/>
              <w:bottom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r w:rsidRPr="00722FB9">
              <w:rPr>
                <w:rFonts w:cstheme="minorHAnsi"/>
                <w:sz w:val="24"/>
                <w:szCs w:val="24"/>
              </w:rPr>
              <w:t>t-test value</w:t>
            </w:r>
          </w:p>
        </w:tc>
        <w:tc>
          <w:tcPr>
            <w:tcW w:w="1190" w:type="dxa"/>
            <w:vMerge w:val="restart"/>
            <w:tcBorders>
              <w:top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r w:rsidRPr="00722FB9">
              <w:rPr>
                <w:rFonts w:cstheme="minorHAnsi"/>
                <w:sz w:val="24"/>
                <w:szCs w:val="24"/>
              </w:rPr>
              <w:t>Significance</w:t>
            </w:r>
          </w:p>
        </w:tc>
      </w:tr>
      <w:tr w:rsidR="00AD518A" w:rsidRPr="00722FB9" w:rsidTr="00363940">
        <w:trPr>
          <w:cantSplit/>
          <w:tblHeader/>
        </w:trPr>
        <w:tc>
          <w:tcPr>
            <w:tcW w:w="2156" w:type="dxa"/>
            <w:gridSpan w:val="2"/>
            <w:vMerge/>
            <w:tcBorders>
              <w:top w:val="single" w:sz="16" w:space="0" w:color="000000"/>
              <w:left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p>
        </w:tc>
        <w:tc>
          <w:tcPr>
            <w:tcW w:w="1336" w:type="dxa"/>
            <w:tcBorders>
              <w:left w:val="single" w:sz="16" w:space="0" w:color="000000"/>
              <w:bottom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r w:rsidRPr="00722FB9">
              <w:rPr>
                <w:rFonts w:cstheme="minorHAnsi"/>
                <w:sz w:val="24"/>
                <w:szCs w:val="24"/>
              </w:rPr>
              <w:t>B</w:t>
            </w:r>
          </w:p>
        </w:tc>
        <w:tc>
          <w:tcPr>
            <w:tcW w:w="1335" w:type="dxa"/>
            <w:tcBorders>
              <w:bottom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r w:rsidRPr="00722FB9">
              <w:rPr>
                <w:rFonts w:cstheme="minorHAnsi"/>
                <w:sz w:val="24"/>
                <w:szCs w:val="24"/>
              </w:rPr>
              <w:t>Std. Error</w:t>
            </w:r>
          </w:p>
        </w:tc>
        <w:tc>
          <w:tcPr>
            <w:tcW w:w="1469" w:type="dxa"/>
            <w:tcBorders>
              <w:bottom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r w:rsidRPr="00722FB9">
              <w:rPr>
                <w:rFonts w:cstheme="minorHAnsi"/>
                <w:sz w:val="24"/>
                <w:szCs w:val="24"/>
              </w:rPr>
              <w:t>Beta</w:t>
            </w:r>
          </w:p>
        </w:tc>
        <w:tc>
          <w:tcPr>
            <w:tcW w:w="1019" w:type="dxa"/>
            <w:vMerge/>
            <w:tcBorders>
              <w:top w:val="single" w:sz="16" w:space="0" w:color="000000"/>
              <w:bottom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p>
        </w:tc>
        <w:tc>
          <w:tcPr>
            <w:tcW w:w="1190" w:type="dxa"/>
            <w:vMerge/>
            <w:tcBorders>
              <w:top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spacing w:line="480" w:lineRule="auto"/>
              <w:jc w:val="both"/>
              <w:rPr>
                <w:rFonts w:cstheme="minorHAnsi"/>
                <w:sz w:val="24"/>
                <w:szCs w:val="24"/>
              </w:rPr>
            </w:pPr>
          </w:p>
        </w:tc>
      </w:tr>
      <w:tr w:rsidR="00AD518A" w:rsidRPr="00722FB9" w:rsidTr="00363940">
        <w:trPr>
          <w:cantSplit/>
          <w:tblHeader/>
        </w:trPr>
        <w:tc>
          <w:tcPr>
            <w:tcW w:w="734" w:type="dxa"/>
            <w:vMerge w:val="restart"/>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single" w:sz="16" w:space="0" w:color="000000"/>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(Constant)</w:t>
            </w:r>
          </w:p>
        </w:tc>
        <w:tc>
          <w:tcPr>
            <w:tcW w:w="1336" w:type="dxa"/>
            <w:tcBorders>
              <w:top w:val="single" w:sz="16" w:space="0" w:color="000000"/>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2.260</w:t>
            </w:r>
          </w:p>
        </w:tc>
        <w:tc>
          <w:tcPr>
            <w:tcW w:w="1335" w:type="dxa"/>
            <w:tcBorders>
              <w:top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.847</w:t>
            </w:r>
          </w:p>
        </w:tc>
        <w:tc>
          <w:tcPr>
            <w:tcW w:w="1469" w:type="dxa"/>
            <w:tcBorders>
              <w:top w:val="single" w:sz="16" w:space="0" w:color="000000"/>
              <w:bottom w:val="nil"/>
            </w:tcBorders>
            <w:shd w:val="clear" w:color="auto" w:fill="FFFFFF"/>
            <w:vAlign w:val="center"/>
          </w:tcPr>
          <w:p w:rsidR="00AD518A" w:rsidRPr="00722FB9" w:rsidRDefault="00AD518A" w:rsidP="005E10A2">
            <w:pPr>
              <w:spacing w:line="480" w:lineRule="auto"/>
              <w:jc w:val="both"/>
              <w:rPr>
                <w:rFonts w:cstheme="minorHAnsi"/>
                <w:sz w:val="24"/>
                <w:szCs w:val="24"/>
              </w:rPr>
            </w:pPr>
          </w:p>
        </w:tc>
        <w:tc>
          <w:tcPr>
            <w:tcW w:w="1019" w:type="dxa"/>
            <w:tcBorders>
              <w:top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2.670</w:t>
            </w:r>
          </w:p>
        </w:tc>
        <w:tc>
          <w:tcPr>
            <w:tcW w:w="1190" w:type="dxa"/>
            <w:tcBorders>
              <w:top w:val="single" w:sz="16" w:space="0" w:color="000000"/>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.010</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Location</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-.591</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.352</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-.194</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-1.678</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.098</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Age_1</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1.837</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1.162</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.461</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1.581</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.119</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Age_2</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1.341</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1.140</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.402</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1.176</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.244</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Age_3</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2.924</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1.165</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.770</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2.510</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.014</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Age_4</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2.433</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1.191</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.516</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2.044</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.045</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Age_5</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2.441</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1.205</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.540</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2.026</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.047</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Gender_1</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.254</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1.356</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.082</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.187</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.852</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Gender_2</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.808</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1.388</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.264</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.583</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.562</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Ethnicity_1</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-1.917</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.867</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-.628</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-2.211</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.030</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Ethnicity_2</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-1.554</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.952</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-.315</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-1.632</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.107</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Ethnicity_3</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-1.126</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1.033</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-.204</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-1.090</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.279</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Ethnicity_4</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-1.228</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.903</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-.291</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-1.359</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.179</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Ethnicity_5</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-2.791</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1.683</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-.198</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-1.659</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.102</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Ethnicity_6</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-1.374</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1.330</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-.137</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-1.033</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.305</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Ethnicity_7</w:t>
            </w:r>
          </w:p>
        </w:tc>
        <w:tc>
          <w:tcPr>
            <w:tcW w:w="1336" w:type="dxa"/>
            <w:tcBorders>
              <w:top w:val="nil"/>
              <w:left w:val="single" w:sz="16" w:space="0" w:color="000000"/>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-2.230</w:t>
            </w:r>
          </w:p>
        </w:tc>
        <w:tc>
          <w:tcPr>
            <w:tcW w:w="1335"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1.697</w:t>
            </w:r>
          </w:p>
        </w:tc>
        <w:tc>
          <w:tcPr>
            <w:tcW w:w="146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-.158</w:t>
            </w:r>
          </w:p>
        </w:tc>
        <w:tc>
          <w:tcPr>
            <w:tcW w:w="1019" w:type="dxa"/>
            <w:tcBorders>
              <w:top w:val="nil"/>
              <w:bottom w:val="nil"/>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-1.314</w:t>
            </w:r>
          </w:p>
        </w:tc>
        <w:tc>
          <w:tcPr>
            <w:tcW w:w="1190" w:type="dxa"/>
            <w:tcBorders>
              <w:top w:val="nil"/>
              <w:bottom w:val="nil"/>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.193</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spacing w:line="480" w:lineRule="auto"/>
              <w:jc w:val="both"/>
              <w:rPr>
                <w:rFonts w:cstheme="minorHAnsi"/>
                <w:sz w:val="24"/>
                <w:szCs w:val="24"/>
              </w:rPr>
            </w:pPr>
          </w:p>
        </w:tc>
        <w:tc>
          <w:tcPr>
            <w:tcW w:w="1422" w:type="dxa"/>
            <w:tcBorders>
              <w:top w:val="nil"/>
              <w:left w:val="nil"/>
              <w:bottom w:val="single" w:sz="16" w:space="0" w:color="000000"/>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Duration (yrs)</w:t>
            </w:r>
          </w:p>
        </w:tc>
        <w:tc>
          <w:tcPr>
            <w:tcW w:w="1336" w:type="dxa"/>
            <w:tcBorders>
              <w:top w:val="nil"/>
              <w:left w:val="single" w:sz="16" w:space="0" w:color="000000"/>
              <w:bottom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.004</w:t>
            </w:r>
          </w:p>
        </w:tc>
        <w:tc>
          <w:tcPr>
            <w:tcW w:w="1335" w:type="dxa"/>
            <w:tcBorders>
              <w:top w:val="nil"/>
              <w:bottom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.014</w:t>
            </w:r>
          </w:p>
        </w:tc>
        <w:tc>
          <w:tcPr>
            <w:tcW w:w="1469" w:type="dxa"/>
            <w:tcBorders>
              <w:top w:val="nil"/>
              <w:bottom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.037</w:t>
            </w:r>
          </w:p>
        </w:tc>
        <w:tc>
          <w:tcPr>
            <w:tcW w:w="1019" w:type="dxa"/>
            <w:tcBorders>
              <w:top w:val="nil"/>
              <w:bottom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.286</w:t>
            </w:r>
          </w:p>
        </w:tc>
        <w:tc>
          <w:tcPr>
            <w:tcW w:w="1190" w:type="dxa"/>
            <w:tcBorders>
              <w:top w:val="nil"/>
              <w:bottom w:val="single" w:sz="16" w:space="0" w:color="000000"/>
              <w:right w:val="single" w:sz="16" w:space="0" w:color="000000"/>
            </w:tcBorders>
            <w:shd w:val="clear" w:color="auto" w:fill="FFFFFF"/>
          </w:tcPr>
          <w:p w:rsidR="00AD518A" w:rsidRPr="00722FB9" w:rsidRDefault="00AD518A" w:rsidP="005E10A2">
            <w:pPr>
              <w:spacing w:line="480" w:lineRule="auto"/>
              <w:jc w:val="both"/>
              <w:rPr>
                <w:rFonts w:cstheme="minorHAnsi"/>
                <w:sz w:val="24"/>
                <w:szCs w:val="24"/>
              </w:rPr>
            </w:pPr>
            <w:r w:rsidRPr="00722FB9">
              <w:rPr>
                <w:rFonts w:cstheme="minorHAnsi"/>
                <w:sz w:val="24"/>
                <w:szCs w:val="24"/>
              </w:rPr>
              <w:t>.775</w:t>
            </w:r>
          </w:p>
        </w:tc>
      </w:tr>
      <w:tr w:rsidR="00AD518A" w:rsidRPr="00722FB9" w:rsidTr="00363940">
        <w:trPr>
          <w:cantSplit/>
        </w:trPr>
        <w:tc>
          <w:tcPr>
            <w:tcW w:w="8505" w:type="dxa"/>
            <w:gridSpan w:val="7"/>
            <w:tcBorders>
              <w:top w:val="nil"/>
              <w:left w:val="nil"/>
              <w:bottom w:val="nil"/>
              <w:right w:val="nil"/>
            </w:tcBorders>
            <w:shd w:val="clear" w:color="auto" w:fill="FFFFFF"/>
          </w:tcPr>
          <w:p w:rsidR="00AD518A" w:rsidRPr="00722FB9" w:rsidRDefault="00AD518A" w:rsidP="005E10A2">
            <w:pPr>
              <w:spacing w:line="480" w:lineRule="auto"/>
              <w:jc w:val="both"/>
              <w:rPr>
                <w:rFonts w:cstheme="minorHAnsi"/>
                <w:b/>
                <w:sz w:val="24"/>
                <w:szCs w:val="24"/>
                <w:u w:val="single"/>
              </w:rPr>
            </w:pPr>
          </w:p>
        </w:tc>
      </w:tr>
    </w:tbl>
    <w:p w:rsidR="002527DD" w:rsidRPr="00722FB9" w:rsidRDefault="002527DD"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Table 3</w:t>
      </w:r>
    </w:p>
    <w:tbl>
      <w:tblPr>
        <w:tblW w:w="8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422"/>
        <w:gridCol w:w="1336"/>
        <w:gridCol w:w="1335"/>
        <w:gridCol w:w="1469"/>
        <w:gridCol w:w="1019"/>
        <w:gridCol w:w="1190"/>
      </w:tblGrid>
      <w:tr w:rsidR="00AD518A" w:rsidRPr="00722FB9" w:rsidTr="00363940">
        <w:trPr>
          <w:cantSplit/>
          <w:tblHeader/>
        </w:trPr>
        <w:tc>
          <w:tcPr>
            <w:tcW w:w="8505" w:type="dxa"/>
            <w:gridSpan w:val="7"/>
            <w:tcBorders>
              <w:top w:val="nil"/>
              <w:left w:val="nil"/>
              <w:bottom w:val="nil"/>
              <w:right w:val="nil"/>
            </w:tcBorders>
            <w:shd w:val="clear" w:color="auto" w:fill="FFFFFF"/>
            <w:vAlign w:val="center"/>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b/>
                <w:bCs/>
                <w:color w:val="000000"/>
                <w:sz w:val="24"/>
                <w:szCs w:val="24"/>
              </w:rPr>
              <w:t>Coefficients</w:t>
            </w:r>
            <w:r w:rsidRPr="00722FB9">
              <w:rPr>
                <w:rFonts w:cstheme="minorHAnsi"/>
                <w:b/>
                <w:bCs/>
                <w:color w:val="000000"/>
                <w:sz w:val="24"/>
                <w:szCs w:val="24"/>
                <w:vertAlign w:val="superscript"/>
              </w:rPr>
              <w:t xml:space="preserve"> </w:t>
            </w:r>
            <w:r w:rsidRPr="00722FB9">
              <w:rPr>
                <w:rFonts w:cstheme="minorHAnsi"/>
                <w:color w:val="000000"/>
                <w:sz w:val="24"/>
                <w:szCs w:val="24"/>
              </w:rPr>
              <w:t>(</w:t>
            </w:r>
            <w:r w:rsidRPr="00722FB9">
              <w:rPr>
                <w:rFonts w:cstheme="minorHAnsi"/>
                <w:b/>
                <w:color w:val="000000"/>
                <w:sz w:val="24"/>
                <w:szCs w:val="24"/>
              </w:rPr>
              <w:t>dependent variable: Q5</w:t>
            </w:r>
            <w:r w:rsidRPr="00722FB9">
              <w:rPr>
                <w:rFonts w:cstheme="minorHAnsi"/>
                <w:color w:val="000000"/>
                <w:sz w:val="24"/>
                <w:szCs w:val="24"/>
              </w:rPr>
              <w:t>)</w:t>
            </w:r>
          </w:p>
        </w:tc>
      </w:tr>
      <w:tr w:rsidR="00AD518A" w:rsidRPr="00722FB9" w:rsidTr="00363940">
        <w:trPr>
          <w:cantSplit/>
          <w:tblHeader/>
        </w:trPr>
        <w:tc>
          <w:tcPr>
            <w:tcW w:w="2156" w:type="dxa"/>
            <w:gridSpan w:val="2"/>
            <w:vMerge w:val="restart"/>
            <w:tcBorders>
              <w:top w:val="single" w:sz="16" w:space="0" w:color="000000"/>
              <w:left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Model</w:t>
            </w:r>
          </w:p>
        </w:tc>
        <w:tc>
          <w:tcPr>
            <w:tcW w:w="2671" w:type="dxa"/>
            <w:gridSpan w:val="2"/>
            <w:tcBorders>
              <w:top w:val="single" w:sz="16" w:space="0" w:color="000000"/>
              <w:lef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Unstandardized Coefficients</w:t>
            </w:r>
          </w:p>
        </w:tc>
        <w:tc>
          <w:tcPr>
            <w:tcW w:w="1469" w:type="dxa"/>
            <w:tcBorders>
              <w:top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Standardized Coefficients</w:t>
            </w:r>
          </w:p>
        </w:tc>
        <w:tc>
          <w:tcPr>
            <w:tcW w:w="1019" w:type="dxa"/>
            <w:vMerge w:val="restart"/>
            <w:tcBorders>
              <w:top w:val="single" w:sz="16" w:space="0" w:color="000000"/>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t-test value</w:t>
            </w:r>
          </w:p>
        </w:tc>
        <w:tc>
          <w:tcPr>
            <w:tcW w:w="1190" w:type="dxa"/>
            <w:vMerge w:val="restart"/>
            <w:tcBorders>
              <w:top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jc w:val="both"/>
              <w:rPr>
                <w:rFonts w:cstheme="minorHAnsi"/>
                <w:color w:val="000000"/>
                <w:sz w:val="24"/>
                <w:szCs w:val="24"/>
              </w:rPr>
            </w:pPr>
            <w:r w:rsidRPr="00722FB9">
              <w:rPr>
                <w:rFonts w:cstheme="minorHAnsi"/>
                <w:color w:val="000000"/>
                <w:sz w:val="24"/>
                <w:szCs w:val="24"/>
              </w:rPr>
              <w:t>Significance</w:t>
            </w:r>
          </w:p>
        </w:tc>
      </w:tr>
      <w:tr w:rsidR="00AD518A" w:rsidRPr="00722FB9" w:rsidTr="00363940">
        <w:trPr>
          <w:cantSplit/>
          <w:tblHeader/>
        </w:trPr>
        <w:tc>
          <w:tcPr>
            <w:tcW w:w="2156" w:type="dxa"/>
            <w:gridSpan w:val="2"/>
            <w:vMerge/>
            <w:tcBorders>
              <w:top w:val="single" w:sz="16" w:space="0" w:color="000000"/>
              <w:left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336" w:type="dxa"/>
            <w:tcBorders>
              <w:left w:val="single" w:sz="16" w:space="0" w:color="000000"/>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B</w:t>
            </w:r>
          </w:p>
        </w:tc>
        <w:tc>
          <w:tcPr>
            <w:tcW w:w="1335" w:type="dxa"/>
            <w:tcBorders>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Std. Error</w:t>
            </w:r>
          </w:p>
        </w:tc>
        <w:tc>
          <w:tcPr>
            <w:tcW w:w="1469" w:type="dxa"/>
            <w:tcBorders>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Beta</w:t>
            </w:r>
          </w:p>
        </w:tc>
        <w:tc>
          <w:tcPr>
            <w:tcW w:w="1019" w:type="dxa"/>
            <w:vMerge/>
            <w:tcBorders>
              <w:top w:val="single" w:sz="16" w:space="0" w:color="000000"/>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190" w:type="dxa"/>
            <w:vMerge/>
            <w:tcBorders>
              <w:top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r>
      <w:tr w:rsidR="00AD518A" w:rsidRPr="00722FB9" w:rsidTr="00363940">
        <w:trPr>
          <w:cantSplit/>
          <w:tblHeader/>
        </w:trPr>
        <w:tc>
          <w:tcPr>
            <w:tcW w:w="734" w:type="dxa"/>
            <w:vMerge w:val="restart"/>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p>
        </w:tc>
        <w:tc>
          <w:tcPr>
            <w:tcW w:w="1422" w:type="dxa"/>
            <w:tcBorders>
              <w:top w:val="single" w:sz="16" w:space="0" w:color="000000"/>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(Constant)</w:t>
            </w:r>
          </w:p>
        </w:tc>
        <w:tc>
          <w:tcPr>
            <w:tcW w:w="1336" w:type="dxa"/>
            <w:tcBorders>
              <w:top w:val="single" w:sz="16" w:space="0" w:color="000000"/>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2.589</w:t>
            </w:r>
          </w:p>
        </w:tc>
        <w:tc>
          <w:tcPr>
            <w:tcW w:w="1335" w:type="dxa"/>
            <w:tcBorders>
              <w:top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.842</w:t>
            </w:r>
          </w:p>
        </w:tc>
        <w:tc>
          <w:tcPr>
            <w:tcW w:w="1469" w:type="dxa"/>
            <w:tcBorders>
              <w:top w:val="single" w:sz="16" w:space="0" w:color="000000"/>
              <w:bottom w:val="nil"/>
            </w:tcBorders>
            <w:shd w:val="clear" w:color="auto" w:fill="FFFFFF"/>
            <w:vAlign w:val="center"/>
          </w:tcPr>
          <w:p w:rsidR="00AD518A" w:rsidRPr="00722FB9" w:rsidRDefault="00AD518A" w:rsidP="005E10A2">
            <w:pPr>
              <w:autoSpaceDE w:val="0"/>
              <w:autoSpaceDN w:val="0"/>
              <w:adjustRightInd w:val="0"/>
              <w:spacing w:line="480" w:lineRule="auto"/>
              <w:jc w:val="both"/>
              <w:rPr>
                <w:rFonts w:cstheme="minorHAnsi"/>
                <w:sz w:val="24"/>
                <w:szCs w:val="24"/>
              </w:rPr>
            </w:pPr>
          </w:p>
        </w:tc>
        <w:tc>
          <w:tcPr>
            <w:tcW w:w="1019" w:type="dxa"/>
            <w:tcBorders>
              <w:top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3.076</w:t>
            </w:r>
          </w:p>
        </w:tc>
        <w:tc>
          <w:tcPr>
            <w:tcW w:w="1190" w:type="dxa"/>
            <w:tcBorders>
              <w:top w:val="single" w:sz="16" w:space="0" w:color="000000"/>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.003</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Location</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-.377</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.350</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-.124</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-1.076</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.286</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Age_1</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-3.419</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1.155</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-.862</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-2.960</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.004</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Age_2</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-3.059</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1.133</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-.920</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-2.699</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.009</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Age_3</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-2.732</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1.158</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-.722</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-2.359</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.021</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Age_4</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-2.706</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1.184</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-.577</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-2.286</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.025</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Age_5</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-1.284</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1.198</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-.285</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-1.072</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.288</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Gender_1</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1.417</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1.349</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.458</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1.051</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.297</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Gender_2</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1.838</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1.380</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.602</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1.332</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.187</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Ethnicity_1</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1.696</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.862</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.558</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1.968</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.053</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Ethnicity_2</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2.001</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.947</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.407</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2.113</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.038</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Ethnicity_3</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2.593</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1.027</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.472</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2.525</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.014</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Ethnicity_4</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2.046</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.898</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.487</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2.278</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.026</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Ethnicity_5</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2.504</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1.674</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.179</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1.496</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.139</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Ethnicity_6</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.697</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1.323</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.070</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.527</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.600</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Ethnicity_7</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2.379</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1.687</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.170</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1.410</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.163</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single" w:sz="16" w:space="0" w:color="000000"/>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Duration (yrs)</w:t>
            </w:r>
          </w:p>
        </w:tc>
        <w:tc>
          <w:tcPr>
            <w:tcW w:w="1336" w:type="dxa"/>
            <w:tcBorders>
              <w:top w:val="nil"/>
              <w:left w:val="single" w:sz="16" w:space="0" w:color="000000"/>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.014</w:t>
            </w:r>
          </w:p>
        </w:tc>
        <w:tc>
          <w:tcPr>
            <w:tcW w:w="1335" w:type="dxa"/>
            <w:tcBorders>
              <w:top w:val="nil"/>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.014</w:t>
            </w:r>
          </w:p>
        </w:tc>
        <w:tc>
          <w:tcPr>
            <w:tcW w:w="1469" w:type="dxa"/>
            <w:tcBorders>
              <w:top w:val="nil"/>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.131</w:t>
            </w:r>
          </w:p>
        </w:tc>
        <w:tc>
          <w:tcPr>
            <w:tcW w:w="1019" w:type="dxa"/>
            <w:tcBorders>
              <w:top w:val="nil"/>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1.030</w:t>
            </w:r>
          </w:p>
        </w:tc>
        <w:tc>
          <w:tcPr>
            <w:tcW w:w="1190" w:type="dxa"/>
            <w:tcBorders>
              <w:top w:val="nil"/>
              <w:bottom w:val="single" w:sz="16" w:space="0" w:color="000000"/>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.307</w:t>
            </w:r>
          </w:p>
        </w:tc>
      </w:tr>
      <w:tr w:rsidR="00AD518A" w:rsidRPr="00722FB9" w:rsidTr="00363940">
        <w:trPr>
          <w:cantSplit/>
        </w:trPr>
        <w:tc>
          <w:tcPr>
            <w:tcW w:w="8505" w:type="dxa"/>
            <w:gridSpan w:val="7"/>
            <w:tcBorders>
              <w:top w:val="nil"/>
              <w:left w:val="nil"/>
              <w:bottom w:val="nil"/>
              <w:right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p>
        </w:tc>
      </w:tr>
    </w:tbl>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Table 4</w:t>
      </w:r>
    </w:p>
    <w:tbl>
      <w:tblPr>
        <w:tblW w:w="8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422"/>
        <w:gridCol w:w="1336"/>
        <w:gridCol w:w="1335"/>
        <w:gridCol w:w="1469"/>
        <w:gridCol w:w="1019"/>
        <w:gridCol w:w="1190"/>
      </w:tblGrid>
      <w:tr w:rsidR="00AD518A" w:rsidRPr="00722FB9" w:rsidTr="00363940">
        <w:trPr>
          <w:cantSplit/>
          <w:tblHeader/>
        </w:trPr>
        <w:tc>
          <w:tcPr>
            <w:tcW w:w="8505" w:type="dxa"/>
            <w:gridSpan w:val="7"/>
            <w:tcBorders>
              <w:top w:val="nil"/>
              <w:left w:val="nil"/>
              <w:bottom w:val="nil"/>
              <w:right w:val="nil"/>
            </w:tcBorders>
            <w:shd w:val="clear" w:color="auto" w:fill="FFFFFF"/>
            <w:vAlign w:val="center"/>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b/>
                <w:bCs/>
                <w:color w:val="000000"/>
                <w:sz w:val="24"/>
                <w:szCs w:val="24"/>
              </w:rPr>
              <w:t>Coefficients</w:t>
            </w:r>
            <w:r w:rsidRPr="00722FB9">
              <w:rPr>
                <w:rFonts w:cstheme="minorHAnsi"/>
                <w:b/>
                <w:bCs/>
                <w:color w:val="000000"/>
                <w:sz w:val="24"/>
                <w:szCs w:val="24"/>
                <w:vertAlign w:val="superscript"/>
              </w:rPr>
              <w:t xml:space="preserve"> </w:t>
            </w:r>
            <w:r w:rsidRPr="00722FB9">
              <w:rPr>
                <w:rFonts w:cstheme="minorHAnsi"/>
                <w:color w:val="000000"/>
                <w:sz w:val="24"/>
                <w:szCs w:val="24"/>
              </w:rPr>
              <w:t>(</w:t>
            </w:r>
            <w:r w:rsidRPr="00722FB9">
              <w:rPr>
                <w:rFonts w:cstheme="minorHAnsi"/>
                <w:b/>
                <w:color w:val="000000"/>
                <w:sz w:val="24"/>
                <w:szCs w:val="24"/>
              </w:rPr>
              <w:t>dependent variable: Q3</w:t>
            </w:r>
            <w:r w:rsidRPr="00722FB9">
              <w:rPr>
                <w:rFonts w:cstheme="minorHAnsi"/>
                <w:color w:val="000000"/>
                <w:sz w:val="24"/>
                <w:szCs w:val="24"/>
              </w:rPr>
              <w:t>)</w:t>
            </w:r>
          </w:p>
        </w:tc>
      </w:tr>
      <w:tr w:rsidR="00AD518A" w:rsidRPr="00722FB9" w:rsidTr="00363940">
        <w:trPr>
          <w:cantSplit/>
          <w:tblHeader/>
        </w:trPr>
        <w:tc>
          <w:tcPr>
            <w:tcW w:w="2156" w:type="dxa"/>
            <w:gridSpan w:val="2"/>
            <w:vMerge w:val="restart"/>
            <w:tcBorders>
              <w:top w:val="single" w:sz="16" w:space="0" w:color="000000"/>
              <w:left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Model</w:t>
            </w:r>
          </w:p>
        </w:tc>
        <w:tc>
          <w:tcPr>
            <w:tcW w:w="2671" w:type="dxa"/>
            <w:gridSpan w:val="2"/>
            <w:tcBorders>
              <w:top w:val="single" w:sz="16" w:space="0" w:color="000000"/>
              <w:lef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Unstandardized Coefficients</w:t>
            </w:r>
          </w:p>
        </w:tc>
        <w:tc>
          <w:tcPr>
            <w:tcW w:w="1469" w:type="dxa"/>
            <w:tcBorders>
              <w:top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Standardized Coefficients</w:t>
            </w:r>
          </w:p>
        </w:tc>
        <w:tc>
          <w:tcPr>
            <w:tcW w:w="1019" w:type="dxa"/>
            <w:vMerge w:val="restart"/>
            <w:tcBorders>
              <w:top w:val="single" w:sz="16" w:space="0" w:color="000000"/>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t-test value</w:t>
            </w:r>
          </w:p>
        </w:tc>
        <w:tc>
          <w:tcPr>
            <w:tcW w:w="1190" w:type="dxa"/>
            <w:vMerge w:val="restart"/>
            <w:tcBorders>
              <w:top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Significance</w:t>
            </w:r>
          </w:p>
        </w:tc>
      </w:tr>
      <w:tr w:rsidR="00AD518A" w:rsidRPr="00722FB9" w:rsidTr="00363940">
        <w:trPr>
          <w:cantSplit/>
          <w:tblHeader/>
        </w:trPr>
        <w:tc>
          <w:tcPr>
            <w:tcW w:w="2156" w:type="dxa"/>
            <w:gridSpan w:val="2"/>
            <w:vMerge/>
            <w:tcBorders>
              <w:top w:val="single" w:sz="16" w:space="0" w:color="000000"/>
              <w:left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336" w:type="dxa"/>
            <w:tcBorders>
              <w:left w:val="single" w:sz="16" w:space="0" w:color="000000"/>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B</w:t>
            </w:r>
          </w:p>
        </w:tc>
        <w:tc>
          <w:tcPr>
            <w:tcW w:w="1335" w:type="dxa"/>
            <w:tcBorders>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Std. Error</w:t>
            </w:r>
          </w:p>
        </w:tc>
        <w:tc>
          <w:tcPr>
            <w:tcW w:w="1469" w:type="dxa"/>
            <w:tcBorders>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Beta</w:t>
            </w:r>
          </w:p>
        </w:tc>
        <w:tc>
          <w:tcPr>
            <w:tcW w:w="1019" w:type="dxa"/>
            <w:vMerge/>
            <w:tcBorders>
              <w:top w:val="single" w:sz="16" w:space="0" w:color="000000"/>
              <w:bottom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190" w:type="dxa"/>
            <w:vMerge/>
            <w:tcBorders>
              <w:top w:val="single" w:sz="16" w:space="0" w:color="000000"/>
              <w:bottom w:val="single" w:sz="16" w:space="0" w:color="000000"/>
              <w:right w:val="single" w:sz="16" w:space="0" w:color="000000"/>
            </w:tcBorders>
            <w:shd w:val="clear" w:color="auto" w:fill="FFFFFF"/>
            <w:vAlign w:val="bottom"/>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r>
      <w:tr w:rsidR="00AD518A" w:rsidRPr="00722FB9" w:rsidTr="00363940">
        <w:trPr>
          <w:cantSplit/>
          <w:tblHeader/>
        </w:trPr>
        <w:tc>
          <w:tcPr>
            <w:tcW w:w="734" w:type="dxa"/>
            <w:vMerge w:val="restart"/>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p>
        </w:tc>
        <w:tc>
          <w:tcPr>
            <w:tcW w:w="1422" w:type="dxa"/>
            <w:tcBorders>
              <w:top w:val="single" w:sz="16" w:space="0" w:color="000000"/>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(Constant)</w:t>
            </w:r>
          </w:p>
        </w:tc>
        <w:tc>
          <w:tcPr>
            <w:tcW w:w="1336" w:type="dxa"/>
            <w:tcBorders>
              <w:top w:val="single" w:sz="16" w:space="0" w:color="000000"/>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1.767</w:t>
            </w:r>
          </w:p>
        </w:tc>
        <w:tc>
          <w:tcPr>
            <w:tcW w:w="1335" w:type="dxa"/>
            <w:tcBorders>
              <w:top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.953</w:t>
            </w:r>
          </w:p>
        </w:tc>
        <w:tc>
          <w:tcPr>
            <w:tcW w:w="1469" w:type="dxa"/>
            <w:tcBorders>
              <w:top w:val="single" w:sz="16" w:space="0" w:color="000000"/>
              <w:bottom w:val="nil"/>
            </w:tcBorders>
            <w:shd w:val="clear" w:color="auto" w:fill="FFFFFF"/>
            <w:vAlign w:val="center"/>
          </w:tcPr>
          <w:p w:rsidR="00AD518A" w:rsidRPr="00722FB9" w:rsidRDefault="00AD518A" w:rsidP="005E10A2">
            <w:pPr>
              <w:autoSpaceDE w:val="0"/>
              <w:autoSpaceDN w:val="0"/>
              <w:adjustRightInd w:val="0"/>
              <w:spacing w:line="480" w:lineRule="auto"/>
              <w:jc w:val="both"/>
              <w:rPr>
                <w:rFonts w:cstheme="minorHAnsi"/>
                <w:sz w:val="24"/>
                <w:szCs w:val="24"/>
              </w:rPr>
            </w:pPr>
          </w:p>
        </w:tc>
        <w:tc>
          <w:tcPr>
            <w:tcW w:w="1019" w:type="dxa"/>
            <w:tcBorders>
              <w:top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1.854</w:t>
            </w:r>
          </w:p>
        </w:tc>
        <w:tc>
          <w:tcPr>
            <w:tcW w:w="1190" w:type="dxa"/>
            <w:tcBorders>
              <w:top w:val="single" w:sz="16" w:space="0" w:color="000000"/>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.068</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Location</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-.962</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.397</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-.271</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-2.426</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.018</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Age_1</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.179</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1.308</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.039</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.137</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.891</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Age_2</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1.318</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1.283</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.339</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1.027</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.308</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Age_3</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.692</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1.312</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.156</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.528</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.599</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Age_4</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1.421</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1.341</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.259</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1.060</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.293</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Age_5</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1.613</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1.356</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.306</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1.190</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.238</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Gender_1</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3.006</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1.527</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.830</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1.968</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.053</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Gender_2</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3.399</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1.563</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.951</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2.175</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.033</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Ethnicity_1</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-2.256</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.976</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-.634</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-2.311</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.024</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Ethnicity_2</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-1.847</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1.073</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-.321</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-1.722</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.090</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Ethnicity_3</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-.899</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1.163</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-.140</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-.773</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.442</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Ethnicity_4</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-1.135</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1.017</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-.231</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-1.116</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.268</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Ethnicity_5</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1.205</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1.895</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.074</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.636</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.527</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Ethnicity_6</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-1.633</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1.498</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-.140</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-1.090</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.280</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Ethnicity_7</w:t>
            </w:r>
          </w:p>
        </w:tc>
        <w:tc>
          <w:tcPr>
            <w:tcW w:w="1336" w:type="dxa"/>
            <w:tcBorders>
              <w:top w:val="nil"/>
              <w:left w:val="single" w:sz="16" w:space="0" w:color="000000"/>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-3.569</w:t>
            </w:r>
          </w:p>
        </w:tc>
        <w:tc>
          <w:tcPr>
            <w:tcW w:w="1335"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1.911</w:t>
            </w:r>
          </w:p>
        </w:tc>
        <w:tc>
          <w:tcPr>
            <w:tcW w:w="146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-.218</w:t>
            </w:r>
          </w:p>
        </w:tc>
        <w:tc>
          <w:tcPr>
            <w:tcW w:w="1019" w:type="dxa"/>
            <w:tcBorders>
              <w:top w:val="nil"/>
              <w:bottom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-1.868</w:t>
            </w:r>
          </w:p>
        </w:tc>
        <w:tc>
          <w:tcPr>
            <w:tcW w:w="1190" w:type="dxa"/>
            <w:tcBorders>
              <w:top w:val="nil"/>
              <w:bottom w:val="nil"/>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.066</w:t>
            </w:r>
          </w:p>
        </w:tc>
      </w:tr>
      <w:tr w:rsidR="00AD518A" w:rsidRPr="00722FB9" w:rsidTr="00363940">
        <w:trPr>
          <w:cantSplit/>
          <w:tblHeader/>
        </w:trPr>
        <w:tc>
          <w:tcPr>
            <w:tcW w:w="734" w:type="dxa"/>
            <w:vMerge/>
            <w:tcBorders>
              <w:top w:val="single" w:sz="16" w:space="0" w:color="000000"/>
              <w:left w:val="single" w:sz="16" w:space="0" w:color="000000"/>
              <w:bottom w:val="single" w:sz="16" w:space="0" w:color="000000"/>
              <w:right w:val="nil"/>
            </w:tcBorders>
            <w:shd w:val="clear" w:color="auto" w:fill="FFFFFF"/>
          </w:tcPr>
          <w:p w:rsidR="00AD518A" w:rsidRPr="00722FB9" w:rsidRDefault="00AD518A" w:rsidP="005E10A2">
            <w:pPr>
              <w:autoSpaceDE w:val="0"/>
              <w:autoSpaceDN w:val="0"/>
              <w:adjustRightInd w:val="0"/>
              <w:spacing w:line="480" w:lineRule="auto"/>
              <w:jc w:val="both"/>
              <w:rPr>
                <w:rFonts w:cstheme="minorHAnsi"/>
                <w:color w:val="000000"/>
                <w:sz w:val="24"/>
                <w:szCs w:val="24"/>
              </w:rPr>
            </w:pPr>
          </w:p>
        </w:tc>
        <w:tc>
          <w:tcPr>
            <w:tcW w:w="1422" w:type="dxa"/>
            <w:tcBorders>
              <w:top w:val="nil"/>
              <w:left w:val="nil"/>
              <w:bottom w:val="single" w:sz="16" w:space="0" w:color="000000"/>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Duration (yrs)</w:t>
            </w:r>
          </w:p>
        </w:tc>
        <w:tc>
          <w:tcPr>
            <w:tcW w:w="1336" w:type="dxa"/>
            <w:tcBorders>
              <w:top w:val="nil"/>
              <w:left w:val="single" w:sz="16" w:space="0" w:color="000000"/>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.022</w:t>
            </w:r>
          </w:p>
        </w:tc>
        <w:tc>
          <w:tcPr>
            <w:tcW w:w="1335" w:type="dxa"/>
            <w:tcBorders>
              <w:top w:val="nil"/>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.016</w:t>
            </w:r>
          </w:p>
        </w:tc>
        <w:tc>
          <w:tcPr>
            <w:tcW w:w="1469" w:type="dxa"/>
            <w:tcBorders>
              <w:top w:val="nil"/>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.173</w:t>
            </w:r>
          </w:p>
        </w:tc>
        <w:tc>
          <w:tcPr>
            <w:tcW w:w="1019" w:type="dxa"/>
            <w:tcBorders>
              <w:top w:val="nil"/>
              <w:bottom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color w:val="000000"/>
                <w:sz w:val="24"/>
                <w:szCs w:val="24"/>
              </w:rPr>
            </w:pPr>
            <w:r w:rsidRPr="00722FB9">
              <w:rPr>
                <w:rFonts w:cstheme="minorHAnsi"/>
                <w:color w:val="000000"/>
                <w:sz w:val="24"/>
                <w:szCs w:val="24"/>
              </w:rPr>
              <w:t>1.406</w:t>
            </w:r>
          </w:p>
        </w:tc>
        <w:tc>
          <w:tcPr>
            <w:tcW w:w="1190" w:type="dxa"/>
            <w:tcBorders>
              <w:top w:val="nil"/>
              <w:bottom w:val="single" w:sz="16" w:space="0" w:color="000000"/>
              <w:right w:val="single" w:sz="16" w:space="0" w:color="000000"/>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sz w:val="24"/>
                <w:szCs w:val="24"/>
              </w:rPr>
            </w:pPr>
            <w:r w:rsidRPr="00722FB9">
              <w:rPr>
                <w:rFonts w:cstheme="minorHAnsi"/>
                <w:sz w:val="24"/>
                <w:szCs w:val="24"/>
              </w:rPr>
              <w:t>.164</w:t>
            </w:r>
          </w:p>
        </w:tc>
      </w:tr>
      <w:tr w:rsidR="00AD518A" w:rsidRPr="00722FB9" w:rsidTr="00363940">
        <w:trPr>
          <w:cantSplit/>
        </w:trPr>
        <w:tc>
          <w:tcPr>
            <w:tcW w:w="8505" w:type="dxa"/>
            <w:gridSpan w:val="7"/>
            <w:tcBorders>
              <w:top w:val="nil"/>
              <w:left w:val="nil"/>
              <w:bottom w:val="nil"/>
              <w:right w:val="nil"/>
            </w:tcBorders>
            <w:shd w:val="clear" w:color="auto" w:fill="FFFFFF"/>
          </w:tcPr>
          <w:p w:rsidR="00AD518A" w:rsidRPr="00722FB9" w:rsidRDefault="00AD518A" w:rsidP="005E10A2">
            <w:pPr>
              <w:autoSpaceDE w:val="0"/>
              <w:autoSpaceDN w:val="0"/>
              <w:adjustRightInd w:val="0"/>
              <w:spacing w:line="480" w:lineRule="auto"/>
              <w:ind w:left="60" w:right="60"/>
              <w:jc w:val="both"/>
              <w:rPr>
                <w:rFonts w:cstheme="minorHAnsi"/>
                <w:b/>
                <w:color w:val="000000"/>
                <w:sz w:val="24"/>
                <w:szCs w:val="24"/>
              </w:rPr>
            </w:pPr>
          </w:p>
        </w:tc>
      </w:tr>
    </w:tbl>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Appendix 4: Descriptive statistics on the value of CSI and duration of stay in Greater Carpenters and Leigham Court</w:t>
      </w: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Table 1: total CSI and total residency in Greater Carpenters and Leigham Court</w:t>
      </w:r>
    </w:p>
    <w:p w:rsidR="00AD518A" w:rsidRPr="00722FB9" w:rsidRDefault="00AD518A" w:rsidP="005E10A2">
      <w:pPr>
        <w:spacing w:line="480" w:lineRule="auto"/>
        <w:jc w:val="both"/>
        <w:rPr>
          <w:rFonts w:cstheme="minorHAnsi"/>
          <w:b/>
          <w:sz w:val="24"/>
          <w:szCs w:val="24"/>
          <w:u w:val="single"/>
          <w:lang w:val="en-US"/>
        </w:rPr>
      </w:pPr>
    </w:p>
    <w:tbl>
      <w:tblPr>
        <w:tblW w:w="5884" w:type="dxa"/>
        <w:tblInd w:w="103" w:type="dxa"/>
        <w:tblLook w:val="04A0" w:firstRow="1" w:lastRow="0" w:firstColumn="1" w:lastColumn="0" w:noHBand="0" w:noVBand="1"/>
      </w:tblPr>
      <w:tblGrid>
        <w:gridCol w:w="1908"/>
        <w:gridCol w:w="2108"/>
        <w:gridCol w:w="1868"/>
      </w:tblGrid>
      <w:tr w:rsidR="00AD518A" w:rsidRPr="00722FB9" w:rsidTr="00363940">
        <w:trPr>
          <w:trHeight w:val="300"/>
        </w:trPr>
        <w:tc>
          <w:tcPr>
            <w:tcW w:w="1908" w:type="dxa"/>
            <w:tcBorders>
              <w:top w:val="single" w:sz="4" w:space="0" w:color="95B3D7"/>
              <w:left w:val="single" w:sz="4" w:space="0" w:color="95B3D7"/>
              <w:bottom w:val="single" w:sz="4" w:space="0" w:color="95B3D7"/>
              <w:right w:val="nil"/>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sz w:val="24"/>
                <w:szCs w:val="24"/>
                <w:lang w:val="en-US" w:eastAsia="ru-RU"/>
              </w:rPr>
            </w:pPr>
          </w:p>
        </w:tc>
        <w:tc>
          <w:tcPr>
            <w:tcW w:w="2108" w:type="dxa"/>
            <w:tcBorders>
              <w:top w:val="single" w:sz="4" w:space="0" w:color="95B3D7"/>
              <w:left w:val="nil"/>
              <w:bottom w:val="single" w:sz="4" w:space="0" w:color="95B3D7"/>
              <w:right w:val="nil"/>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sz w:val="24"/>
                <w:szCs w:val="24"/>
                <w:lang w:eastAsia="ru-RU"/>
              </w:rPr>
            </w:pPr>
            <w:r w:rsidRPr="00722FB9">
              <w:rPr>
                <w:rFonts w:eastAsia="Times New Roman" w:cstheme="minorHAnsi"/>
                <w:b/>
                <w:bCs/>
                <w:color w:val="FFFFFF"/>
                <w:sz w:val="24"/>
                <w:szCs w:val="24"/>
                <w:lang w:eastAsia="ru-RU"/>
              </w:rPr>
              <w:t>Greater Carpenters</w:t>
            </w:r>
          </w:p>
        </w:tc>
        <w:tc>
          <w:tcPr>
            <w:tcW w:w="1868" w:type="dxa"/>
            <w:tcBorders>
              <w:top w:val="single" w:sz="4" w:space="0" w:color="95B3D7"/>
              <w:left w:val="nil"/>
              <w:bottom w:val="single" w:sz="4" w:space="0" w:color="95B3D7"/>
              <w:right w:val="single" w:sz="4" w:space="0" w:color="95B3D7"/>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sz w:val="24"/>
                <w:szCs w:val="24"/>
                <w:lang w:eastAsia="ru-RU"/>
              </w:rPr>
            </w:pPr>
            <w:r w:rsidRPr="00722FB9">
              <w:rPr>
                <w:rFonts w:eastAsia="Times New Roman" w:cstheme="minorHAnsi"/>
                <w:b/>
                <w:bCs/>
                <w:color w:val="FFFFFF"/>
                <w:sz w:val="24"/>
                <w:szCs w:val="24"/>
                <w:lang w:eastAsia="ru-RU"/>
              </w:rPr>
              <w:t>Leigham Court</w:t>
            </w:r>
          </w:p>
        </w:tc>
      </w:tr>
      <w:tr w:rsidR="00AD518A" w:rsidRPr="00722FB9" w:rsidTr="00363940">
        <w:trPr>
          <w:trHeight w:val="300"/>
        </w:trPr>
        <w:tc>
          <w:tcPr>
            <w:tcW w:w="1908" w:type="dxa"/>
            <w:tcBorders>
              <w:top w:val="nil"/>
              <w:left w:val="single" w:sz="4" w:space="0" w:color="95B3D7"/>
              <w:bottom w:val="single" w:sz="4" w:space="0" w:color="95B3D7"/>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T</w:t>
            </w:r>
            <w:r w:rsidRPr="00722FB9">
              <w:rPr>
                <w:rFonts w:eastAsia="Times New Roman" w:cstheme="minorHAnsi"/>
                <w:color w:val="000000"/>
                <w:sz w:val="24"/>
                <w:szCs w:val="24"/>
                <w:lang w:eastAsia="ru-RU"/>
              </w:rPr>
              <w:t>otal CSI</w:t>
            </w:r>
          </w:p>
        </w:tc>
        <w:tc>
          <w:tcPr>
            <w:tcW w:w="2108" w:type="dxa"/>
            <w:tcBorders>
              <w:top w:val="nil"/>
              <w:left w:val="nil"/>
              <w:bottom w:val="single" w:sz="4" w:space="0" w:color="95B3D7"/>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sz w:val="24"/>
                <w:szCs w:val="24"/>
                <w:lang w:eastAsia="ru-RU"/>
              </w:rPr>
            </w:pPr>
            <w:r w:rsidRPr="00722FB9">
              <w:rPr>
                <w:rFonts w:eastAsia="Times New Roman" w:cstheme="minorHAnsi"/>
                <w:sz w:val="24"/>
                <w:szCs w:val="24"/>
                <w:lang w:eastAsia="ru-RU"/>
              </w:rPr>
              <w:t>457</w:t>
            </w:r>
          </w:p>
        </w:tc>
        <w:tc>
          <w:tcPr>
            <w:tcW w:w="1868" w:type="dxa"/>
            <w:tcBorders>
              <w:top w:val="nil"/>
              <w:left w:val="nil"/>
              <w:bottom w:val="single" w:sz="4" w:space="0" w:color="95B3D7"/>
              <w:right w:val="single" w:sz="4" w:space="0" w:color="95B3D7"/>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sz w:val="24"/>
                <w:szCs w:val="24"/>
                <w:lang w:eastAsia="ru-RU"/>
              </w:rPr>
            </w:pPr>
            <w:r w:rsidRPr="00722FB9">
              <w:rPr>
                <w:rFonts w:eastAsia="Times New Roman" w:cstheme="minorHAnsi"/>
                <w:sz w:val="24"/>
                <w:szCs w:val="24"/>
                <w:lang w:eastAsia="ru-RU"/>
              </w:rPr>
              <w:t>430</w:t>
            </w:r>
          </w:p>
        </w:tc>
      </w:tr>
      <w:tr w:rsidR="00AD518A" w:rsidRPr="00722FB9" w:rsidTr="00363940">
        <w:trPr>
          <w:trHeight w:val="300"/>
        </w:trPr>
        <w:tc>
          <w:tcPr>
            <w:tcW w:w="1908" w:type="dxa"/>
            <w:tcBorders>
              <w:top w:val="nil"/>
              <w:left w:val="single" w:sz="4" w:space="0" w:color="95B3D7"/>
              <w:bottom w:val="single" w:sz="4" w:space="0" w:color="95B3D7"/>
              <w:right w:val="nil"/>
            </w:tcBorders>
            <w:shd w:val="clear" w:color="auto" w:fill="auto"/>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T</w:t>
            </w:r>
            <w:r w:rsidRPr="00722FB9">
              <w:rPr>
                <w:rFonts w:eastAsia="Times New Roman" w:cstheme="minorHAnsi"/>
                <w:color w:val="000000"/>
                <w:sz w:val="24"/>
                <w:szCs w:val="24"/>
                <w:lang w:eastAsia="ru-RU"/>
              </w:rPr>
              <w:t>otal residency</w:t>
            </w:r>
          </w:p>
        </w:tc>
        <w:tc>
          <w:tcPr>
            <w:tcW w:w="2108" w:type="dxa"/>
            <w:tcBorders>
              <w:top w:val="nil"/>
              <w:left w:val="nil"/>
              <w:bottom w:val="single" w:sz="4" w:space="0" w:color="95B3D7"/>
              <w:right w:val="nil"/>
            </w:tcBorders>
            <w:shd w:val="clear" w:color="auto" w:fill="auto"/>
            <w:noWrap/>
            <w:vAlign w:val="bottom"/>
            <w:hideMark/>
          </w:tcPr>
          <w:p w:rsidR="00AD518A" w:rsidRPr="00722FB9" w:rsidRDefault="00AD518A" w:rsidP="005E10A2">
            <w:pPr>
              <w:spacing w:after="0" w:line="480" w:lineRule="auto"/>
              <w:jc w:val="both"/>
              <w:rPr>
                <w:rFonts w:eastAsia="Times New Roman" w:cstheme="minorHAnsi"/>
                <w:sz w:val="24"/>
                <w:szCs w:val="24"/>
                <w:lang w:eastAsia="ru-RU"/>
              </w:rPr>
            </w:pPr>
            <w:r w:rsidRPr="00722FB9">
              <w:rPr>
                <w:rFonts w:eastAsia="Times New Roman" w:cstheme="minorHAnsi"/>
                <w:sz w:val="24"/>
                <w:szCs w:val="24"/>
                <w:lang w:eastAsia="ru-RU"/>
              </w:rPr>
              <w:t>486,411</w:t>
            </w:r>
          </w:p>
        </w:tc>
        <w:tc>
          <w:tcPr>
            <w:tcW w:w="1868" w:type="dxa"/>
            <w:tcBorders>
              <w:top w:val="nil"/>
              <w:left w:val="nil"/>
              <w:bottom w:val="single" w:sz="4" w:space="0" w:color="95B3D7"/>
              <w:right w:val="single" w:sz="4" w:space="0" w:color="95B3D7"/>
            </w:tcBorders>
            <w:shd w:val="clear" w:color="auto" w:fill="auto"/>
            <w:noWrap/>
            <w:vAlign w:val="bottom"/>
            <w:hideMark/>
          </w:tcPr>
          <w:p w:rsidR="00AD518A" w:rsidRPr="00722FB9" w:rsidRDefault="00AD518A" w:rsidP="005E10A2">
            <w:pPr>
              <w:spacing w:after="0" w:line="480" w:lineRule="auto"/>
              <w:jc w:val="both"/>
              <w:rPr>
                <w:rFonts w:eastAsia="Times New Roman" w:cstheme="minorHAnsi"/>
                <w:sz w:val="24"/>
                <w:szCs w:val="24"/>
                <w:lang w:eastAsia="ru-RU"/>
              </w:rPr>
            </w:pPr>
            <w:r w:rsidRPr="00722FB9">
              <w:rPr>
                <w:rFonts w:eastAsia="Times New Roman" w:cstheme="minorHAnsi"/>
                <w:sz w:val="24"/>
                <w:szCs w:val="24"/>
                <w:lang w:eastAsia="ru-RU"/>
              </w:rPr>
              <w:t>466,613</w:t>
            </w:r>
          </w:p>
        </w:tc>
      </w:tr>
    </w:tbl>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Table 2: average CSI and average residency in Greater Carpenters and Leigham Court</w:t>
      </w:r>
    </w:p>
    <w:p w:rsidR="00AD518A" w:rsidRPr="00722FB9" w:rsidRDefault="00AD518A" w:rsidP="005E10A2">
      <w:pPr>
        <w:spacing w:line="480" w:lineRule="auto"/>
        <w:jc w:val="both"/>
        <w:rPr>
          <w:rFonts w:cstheme="minorHAnsi"/>
          <w:b/>
          <w:sz w:val="24"/>
          <w:szCs w:val="24"/>
          <w:u w:val="single"/>
          <w:lang w:val="en-US"/>
        </w:rPr>
      </w:pPr>
    </w:p>
    <w:tbl>
      <w:tblPr>
        <w:tblW w:w="5884" w:type="dxa"/>
        <w:tblInd w:w="103" w:type="dxa"/>
        <w:tblLook w:val="04A0" w:firstRow="1" w:lastRow="0" w:firstColumn="1" w:lastColumn="0" w:noHBand="0" w:noVBand="1"/>
      </w:tblPr>
      <w:tblGrid>
        <w:gridCol w:w="1908"/>
        <w:gridCol w:w="2108"/>
        <w:gridCol w:w="1868"/>
      </w:tblGrid>
      <w:tr w:rsidR="00AD518A" w:rsidRPr="00722FB9" w:rsidTr="00363940">
        <w:trPr>
          <w:trHeight w:val="300"/>
        </w:trPr>
        <w:tc>
          <w:tcPr>
            <w:tcW w:w="1908" w:type="dxa"/>
            <w:tcBorders>
              <w:top w:val="single" w:sz="4" w:space="0" w:color="95B3D7"/>
              <w:left w:val="single" w:sz="4" w:space="0" w:color="95B3D7"/>
              <w:bottom w:val="single" w:sz="4" w:space="0" w:color="95B3D7"/>
              <w:right w:val="nil"/>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sz w:val="24"/>
                <w:szCs w:val="24"/>
                <w:lang w:val="en-US" w:eastAsia="ru-RU"/>
              </w:rPr>
            </w:pPr>
          </w:p>
        </w:tc>
        <w:tc>
          <w:tcPr>
            <w:tcW w:w="2108" w:type="dxa"/>
            <w:tcBorders>
              <w:top w:val="single" w:sz="4" w:space="0" w:color="95B3D7"/>
              <w:left w:val="nil"/>
              <w:bottom w:val="single" w:sz="4" w:space="0" w:color="95B3D7"/>
              <w:right w:val="nil"/>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sz w:val="24"/>
                <w:szCs w:val="24"/>
                <w:lang w:val="en-US" w:eastAsia="ru-RU"/>
              </w:rPr>
            </w:pPr>
            <w:r w:rsidRPr="00722FB9">
              <w:rPr>
                <w:rFonts w:eastAsia="Times New Roman" w:cstheme="minorHAnsi"/>
                <w:b/>
                <w:bCs/>
                <w:color w:val="FFFFFF"/>
                <w:sz w:val="24"/>
                <w:szCs w:val="24"/>
                <w:lang w:eastAsia="ru-RU"/>
              </w:rPr>
              <w:t>G</w:t>
            </w:r>
            <w:r w:rsidRPr="00722FB9">
              <w:rPr>
                <w:rFonts w:eastAsia="Times New Roman" w:cstheme="minorHAnsi"/>
                <w:b/>
                <w:bCs/>
                <w:color w:val="FFFFFF"/>
                <w:sz w:val="24"/>
                <w:szCs w:val="24"/>
                <w:lang w:val="en-US" w:eastAsia="ru-RU"/>
              </w:rPr>
              <w:t>reater Carpenters</w:t>
            </w:r>
          </w:p>
        </w:tc>
        <w:tc>
          <w:tcPr>
            <w:tcW w:w="1868" w:type="dxa"/>
            <w:tcBorders>
              <w:top w:val="single" w:sz="4" w:space="0" w:color="95B3D7"/>
              <w:left w:val="nil"/>
              <w:bottom w:val="single" w:sz="4" w:space="0" w:color="95B3D7"/>
              <w:right w:val="single" w:sz="4" w:space="0" w:color="95B3D7"/>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sz w:val="24"/>
                <w:szCs w:val="24"/>
                <w:lang w:val="en-US" w:eastAsia="ru-RU"/>
              </w:rPr>
            </w:pPr>
            <w:r w:rsidRPr="00722FB9">
              <w:rPr>
                <w:rFonts w:eastAsia="Times New Roman" w:cstheme="minorHAnsi"/>
                <w:b/>
                <w:bCs/>
                <w:color w:val="FFFFFF"/>
                <w:sz w:val="24"/>
                <w:szCs w:val="24"/>
                <w:lang w:val="en-US" w:eastAsia="ru-RU"/>
              </w:rPr>
              <w:t>Leigham Court</w:t>
            </w:r>
          </w:p>
        </w:tc>
      </w:tr>
      <w:tr w:rsidR="00AD518A" w:rsidRPr="00722FB9" w:rsidTr="00363940">
        <w:trPr>
          <w:trHeight w:val="300"/>
        </w:trPr>
        <w:tc>
          <w:tcPr>
            <w:tcW w:w="1908" w:type="dxa"/>
            <w:tcBorders>
              <w:top w:val="nil"/>
              <w:left w:val="single" w:sz="4" w:space="0" w:color="95B3D7"/>
              <w:bottom w:val="single" w:sz="4" w:space="0" w:color="95B3D7"/>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Average CSI</w:t>
            </w:r>
          </w:p>
        </w:tc>
        <w:tc>
          <w:tcPr>
            <w:tcW w:w="2108" w:type="dxa"/>
            <w:tcBorders>
              <w:top w:val="nil"/>
              <w:left w:val="nil"/>
              <w:bottom w:val="single" w:sz="4" w:space="0" w:color="95B3D7"/>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10,88095238</w:t>
            </w:r>
          </w:p>
        </w:tc>
        <w:tc>
          <w:tcPr>
            <w:tcW w:w="1868" w:type="dxa"/>
            <w:tcBorders>
              <w:top w:val="nil"/>
              <w:left w:val="nil"/>
              <w:bottom w:val="single" w:sz="4" w:space="0" w:color="95B3D7"/>
              <w:right w:val="single" w:sz="4" w:space="0" w:color="95B3D7"/>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10,23809524</w:t>
            </w:r>
          </w:p>
        </w:tc>
      </w:tr>
      <w:tr w:rsidR="00AD518A" w:rsidRPr="00722FB9" w:rsidTr="00363940">
        <w:trPr>
          <w:trHeight w:val="300"/>
        </w:trPr>
        <w:tc>
          <w:tcPr>
            <w:tcW w:w="1908" w:type="dxa"/>
            <w:tcBorders>
              <w:top w:val="nil"/>
              <w:left w:val="single" w:sz="4" w:space="0" w:color="95B3D7"/>
              <w:bottom w:val="single" w:sz="4" w:space="0" w:color="95B3D7"/>
              <w:right w:val="nil"/>
            </w:tcBorders>
            <w:shd w:val="clear" w:color="auto" w:fill="auto"/>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Average residency</w:t>
            </w:r>
          </w:p>
        </w:tc>
        <w:tc>
          <w:tcPr>
            <w:tcW w:w="2108" w:type="dxa"/>
            <w:tcBorders>
              <w:top w:val="nil"/>
              <w:left w:val="nil"/>
              <w:bottom w:val="single" w:sz="4" w:space="0" w:color="95B3D7"/>
              <w:right w:val="nil"/>
            </w:tcBorders>
            <w:shd w:val="clear" w:color="auto" w:fill="auto"/>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11,58121429</w:t>
            </w:r>
          </w:p>
        </w:tc>
        <w:tc>
          <w:tcPr>
            <w:tcW w:w="1868" w:type="dxa"/>
            <w:tcBorders>
              <w:top w:val="nil"/>
              <w:left w:val="nil"/>
              <w:bottom w:val="single" w:sz="4" w:space="0" w:color="95B3D7"/>
              <w:right w:val="single" w:sz="4" w:space="0" w:color="95B3D7"/>
            </w:tcBorders>
            <w:shd w:val="clear" w:color="auto" w:fill="auto"/>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11,10983333</w:t>
            </w:r>
          </w:p>
        </w:tc>
      </w:tr>
    </w:tbl>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Bar chart 1: total residency and total CSI in Greater Carpenters and Leigham Court</w:t>
      </w: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noProof/>
          <w:sz w:val="24"/>
          <w:szCs w:val="24"/>
          <w:u w:val="single"/>
        </w:rPr>
        <w:drawing>
          <wp:inline distT="0" distB="0" distL="0" distR="0" wp14:anchorId="10342702" wp14:editId="3BC926A2">
            <wp:extent cx="5942558" cy="3599079"/>
            <wp:effectExtent l="19050" t="0" r="20092" b="1371"/>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 xml:space="preserve">Appendix 5: </w:t>
      </w:r>
    </w:p>
    <w:p w:rsidR="00AD518A" w:rsidRPr="00722FB9" w:rsidRDefault="00AD518A" w:rsidP="005E10A2">
      <w:pPr>
        <w:spacing w:line="480" w:lineRule="auto"/>
        <w:jc w:val="both"/>
        <w:rPr>
          <w:rFonts w:eastAsia="Times New Roman" w:cstheme="minorHAnsi"/>
          <w:b/>
          <w:bCs/>
          <w:color w:val="000000"/>
          <w:sz w:val="24"/>
          <w:szCs w:val="24"/>
          <w:lang w:val="en-US" w:eastAsia="ru-RU"/>
        </w:rPr>
      </w:pPr>
      <w:r w:rsidRPr="00722FB9">
        <w:rPr>
          <w:rFonts w:cstheme="minorHAnsi"/>
          <w:b/>
          <w:sz w:val="24"/>
          <w:szCs w:val="24"/>
          <w:u w:val="single"/>
          <w:lang w:val="en-US"/>
        </w:rPr>
        <w:t xml:space="preserve">Table 1: </w:t>
      </w:r>
      <w:r w:rsidRPr="00722FB9">
        <w:rPr>
          <w:rFonts w:eastAsia="Times New Roman" w:cstheme="minorHAnsi"/>
          <w:b/>
          <w:bCs/>
          <w:color w:val="000000"/>
          <w:sz w:val="24"/>
          <w:szCs w:val="24"/>
          <w:lang w:val="en-US" w:eastAsia="ru-RU"/>
        </w:rPr>
        <w:t xml:space="preserve">House Price Index report – Comparison between Newham borough and the London region               </w:t>
      </w:r>
    </w:p>
    <w:p w:rsidR="00AD518A" w:rsidRPr="00722FB9" w:rsidRDefault="00AD518A" w:rsidP="005E10A2">
      <w:pPr>
        <w:spacing w:line="480" w:lineRule="auto"/>
        <w:jc w:val="both"/>
        <w:rPr>
          <w:rFonts w:eastAsia="Times New Roman" w:cstheme="minorHAnsi"/>
          <w:b/>
          <w:bCs/>
          <w:color w:val="000000"/>
          <w:sz w:val="24"/>
          <w:szCs w:val="24"/>
          <w:lang w:val="en-US" w:eastAsia="ru-RU"/>
        </w:rPr>
      </w:pPr>
      <w:r w:rsidRPr="00722FB9">
        <w:rPr>
          <w:rFonts w:eastAsia="Times New Roman" w:cstheme="minorHAnsi"/>
          <w:b/>
          <w:bCs/>
          <w:color w:val="000000"/>
          <w:sz w:val="24"/>
          <w:szCs w:val="24"/>
          <w:lang w:val="en-US" w:eastAsia="ru-RU"/>
        </w:rPr>
        <w:t xml:space="preserve">              (January 2010 - May 2011)</w:t>
      </w:r>
    </w:p>
    <w:tbl>
      <w:tblPr>
        <w:tblW w:w="8916" w:type="dxa"/>
        <w:tblInd w:w="108" w:type="dxa"/>
        <w:tblLook w:val="04A0" w:firstRow="1" w:lastRow="0" w:firstColumn="1" w:lastColumn="0" w:noHBand="0" w:noVBand="1"/>
      </w:tblPr>
      <w:tblGrid>
        <w:gridCol w:w="6073"/>
        <w:gridCol w:w="2843"/>
      </w:tblGrid>
      <w:tr w:rsidR="00AD518A" w:rsidRPr="00722FB9" w:rsidTr="00363940">
        <w:trPr>
          <w:trHeight w:val="315"/>
        </w:trPr>
        <w:tc>
          <w:tcPr>
            <w:tcW w:w="6073" w:type="dxa"/>
            <w:tcBorders>
              <w:top w:val="nil"/>
              <w:left w:val="nil"/>
              <w:bottom w:val="nil"/>
              <w:right w:val="nil"/>
            </w:tcBorders>
            <w:shd w:val="clear" w:color="auto" w:fill="auto"/>
            <w:noWrap/>
            <w:vAlign w:val="bottom"/>
            <w:hideMark/>
          </w:tcPr>
          <w:p w:rsidR="00AD518A" w:rsidRPr="00722FB9" w:rsidRDefault="00AD518A" w:rsidP="005E10A2">
            <w:pPr>
              <w:spacing w:after="0" w:line="480" w:lineRule="auto"/>
              <w:jc w:val="both"/>
              <w:rPr>
                <w:rFonts w:eastAsia="Times New Roman" w:cstheme="minorHAnsi"/>
                <w:b/>
                <w:bCs/>
                <w:color w:val="000000"/>
                <w:sz w:val="24"/>
                <w:szCs w:val="24"/>
                <w:lang w:val="en-US" w:eastAsia="ru-RU"/>
              </w:rPr>
            </w:pPr>
          </w:p>
        </w:tc>
        <w:tc>
          <w:tcPr>
            <w:tcW w:w="2843" w:type="dxa"/>
            <w:tcBorders>
              <w:top w:val="nil"/>
              <w:left w:val="nil"/>
              <w:bottom w:val="nil"/>
              <w:right w:val="nil"/>
            </w:tcBorders>
            <w:shd w:val="clear" w:color="auto" w:fill="auto"/>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r>
      <w:tr w:rsidR="00AD518A" w:rsidRPr="00722FB9" w:rsidTr="00363940">
        <w:trPr>
          <w:trHeight w:val="315"/>
        </w:trPr>
        <w:tc>
          <w:tcPr>
            <w:tcW w:w="8916" w:type="dxa"/>
            <w:gridSpan w:val="2"/>
            <w:tcBorders>
              <w:top w:val="nil"/>
              <w:left w:val="nil"/>
              <w:bottom w:val="nil"/>
              <w:right w:val="nil"/>
            </w:tcBorders>
            <w:shd w:val="clear" w:color="auto" w:fill="auto"/>
            <w:noWrap/>
            <w:vAlign w:val="bottom"/>
            <w:hideMark/>
          </w:tcPr>
          <w:tbl>
            <w:tblPr>
              <w:tblpPr w:leftFromText="180" w:rightFromText="180" w:vertAnchor="text" w:horzAnchor="margin" w:tblpY="-153"/>
              <w:tblW w:w="8700" w:type="dxa"/>
              <w:tblLook w:val="04A0" w:firstRow="1" w:lastRow="0" w:firstColumn="1" w:lastColumn="0" w:noHBand="0" w:noVBand="1"/>
            </w:tblPr>
            <w:tblGrid>
              <w:gridCol w:w="1328"/>
              <w:gridCol w:w="2808"/>
              <w:gridCol w:w="1928"/>
              <w:gridCol w:w="1328"/>
              <w:gridCol w:w="1308"/>
            </w:tblGrid>
            <w:tr w:rsidR="00AD518A" w:rsidRPr="00722FB9" w:rsidTr="00363940">
              <w:trPr>
                <w:trHeight w:val="630"/>
              </w:trPr>
              <w:tc>
                <w:tcPr>
                  <w:tcW w:w="1328" w:type="dxa"/>
                  <w:tcBorders>
                    <w:top w:val="nil"/>
                    <w:left w:val="nil"/>
                    <w:right w:val="single" w:sz="4" w:space="0" w:color="FFFFFF"/>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bCs/>
                      <w:color w:val="FFFFFF" w:themeColor="background1"/>
                      <w:sz w:val="24"/>
                      <w:szCs w:val="24"/>
                      <w:lang w:eastAsia="ru-RU"/>
                    </w:rPr>
                    <w:t>Month</w:t>
                  </w:r>
                </w:p>
              </w:tc>
              <w:tc>
                <w:tcPr>
                  <w:tcW w:w="2808" w:type="dxa"/>
                  <w:tcBorders>
                    <w:top w:val="nil"/>
                    <w:left w:val="nil"/>
                    <w:right w:val="single" w:sz="4" w:space="0" w:color="FFFFFF"/>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bCs/>
                      <w:color w:val="FFFFFF" w:themeColor="background1"/>
                      <w:sz w:val="24"/>
                      <w:szCs w:val="24"/>
                      <w:lang w:eastAsia="ru-RU"/>
                    </w:rPr>
                    <w:t>Newham borough</w:t>
                  </w:r>
                </w:p>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bCs/>
                      <w:color w:val="FFFFFF" w:themeColor="background1"/>
                      <w:sz w:val="24"/>
                      <w:szCs w:val="24"/>
                      <w:lang w:eastAsia="ru-RU"/>
                    </w:rPr>
                    <w:t>Index</w:t>
                  </w:r>
                </w:p>
              </w:tc>
              <w:tc>
                <w:tcPr>
                  <w:tcW w:w="1928" w:type="dxa"/>
                  <w:tcBorders>
                    <w:top w:val="nil"/>
                    <w:left w:val="nil"/>
                    <w:right w:val="single" w:sz="4" w:space="0" w:color="FFFFFF"/>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bCs/>
                      <w:color w:val="FFFFFF" w:themeColor="background1"/>
                      <w:sz w:val="24"/>
                      <w:szCs w:val="24"/>
                      <w:lang w:eastAsia="ru-RU"/>
                    </w:rPr>
                    <w:t xml:space="preserve">London </w:t>
                  </w:r>
                  <w:r w:rsidRPr="00722FB9">
                    <w:rPr>
                      <w:rFonts w:eastAsia="Times New Roman" w:cstheme="minorHAnsi"/>
                      <w:b/>
                      <w:bCs/>
                      <w:color w:val="FFFFFF" w:themeColor="background1"/>
                      <w:sz w:val="24"/>
                      <w:szCs w:val="24"/>
                      <w:lang w:val="en-US" w:eastAsia="ru-RU"/>
                    </w:rPr>
                    <w:t>r</w:t>
                  </w:r>
                  <w:r w:rsidRPr="00722FB9">
                    <w:rPr>
                      <w:rFonts w:eastAsia="Times New Roman" w:cstheme="minorHAnsi"/>
                      <w:b/>
                      <w:bCs/>
                      <w:color w:val="FFFFFF" w:themeColor="background1"/>
                      <w:sz w:val="24"/>
                      <w:szCs w:val="24"/>
                      <w:lang w:eastAsia="ru-RU"/>
                    </w:rPr>
                    <w:t>egion</w:t>
                  </w:r>
                </w:p>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bCs/>
                      <w:color w:val="FFFFFF" w:themeColor="background1"/>
                      <w:sz w:val="24"/>
                      <w:szCs w:val="24"/>
                      <w:lang w:eastAsia="ru-RU"/>
                    </w:rPr>
                    <w:t>Average Price (£)</w:t>
                  </w:r>
                </w:p>
              </w:tc>
              <w:tc>
                <w:tcPr>
                  <w:tcW w:w="1328" w:type="dxa"/>
                  <w:tcBorders>
                    <w:top w:val="nil"/>
                    <w:left w:val="nil"/>
                    <w:right w:val="single" w:sz="4" w:space="0" w:color="FFFFFF"/>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sz w:val="24"/>
                      <w:szCs w:val="24"/>
                      <w:lang w:eastAsia="ru-RU"/>
                    </w:rPr>
                  </w:pPr>
                  <w:r w:rsidRPr="00722FB9">
                    <w:rPr>
                      <w:rFonts w:eastAsia="Times New Roman" w:cstheme="minorHAnsi"/>
                      <w:b/>
                      <w:bCs/>
                      <w:color w:val="FFFFFF"/>
                      <w:sz w:val="24"/>
                      <w:szCs w:val="24"/>
                      <w:lang w:eastAsia="ru-RU"/>
                    </w:rPr>
                    <w:t>Index</w:t>
                  </w:r>
                </w:p>
              </w:tc>
              <w:tc>
                <w:tcPr>
                  <w:tcW w:w="1308" w:type="dxa"/>
                  <w:tcBorders>
                    <w:top w:val="nil"/>
                    <w:left w:val="nil"/>
                    <w:right w:val="nil"/>
                  </w:tcBorders>
                  <w:shd w:val="clear" w:color="4F81BD" w:fill="4F81BD"/>
                  <w:noWrap/>
                  <w:vAlign w:val="bottom"/>
                  <w:hideMark/>
                </w:tcPr>
                <w:p w:rsidR="00AD518A" w:rsidRPr="00722FB9" w:rsidRDefault="00AD518A" w:rsidP="005E10A2">
                  <w:pPr>
                    <w:spacing w:after="0" w:line="480" w:lineRule="auto"/>
                    <w:jc w:val="both"/>
                    <w:rPr>
                      <w:rFonts w:eastAsia="Times New Roman" w:cstheme="minorHAnsi"/>
                      <w:b/>
                      <w:bCs/>
                      <w:color w:val="FFFFFF"/>
                      <w:sz w:val="24"/>
                      <w:szCs w:val="24"/>
                      <w:lang w:eastAsia="ru-RU"/>
                    </w:rPr>
                  </w:pPr>
                  <w:r w:rsidRPr="00722FB9">
                    <w:rPr>
                      <w:rFonts w:eastAsia="Times New Roman" w:cstheme="minorHAnsi"/>
                      <w:b/>
                      <w:bCs/>
                      <w:color w:val="FFFFFF"/>
                      <w:sz w:val="24"/>
                      <w:szCs w:val="24"/>
                      <w:lang w:eastAsia="ru-RU"/>
                    </w:rPr>
                    <w:t>Average</w:t>
                  </w:r>
                </w:p>
                <w:p w:rsidR="00AD518A" w:rsidRPr="00722FB9" w:rsidRDefault="00AD518A" w:rsidP="005E10A2">
                  <w:pPr>
                    <w:spacing w:after="0" w:line="480" w:lineRule="auto"/>
                    <w:jc w:val="both"/>
                    <w:rPr>
                      <w:rFonts w:eastAsia="Times New Roman" w:cstheme="minorHAnsi"/>
                      <w:b/>
                      <w:bCs/>
                      <w:color w:val="FFFFFF" w:themeColor="background1"/>
                      <w:sz w:val="24"/>
                      <w:szCs w:val="24"/>
                      <w:lang w:eastAsia="ru-RU"/>
                    </w:rPr>
                  </w:pPr>
                  <w:r w:rsidRPr="00722FB9">
                    <w:rPr>
                      <w:rFonts w:eastAsia="Times New Roman" w:cstheme="minorHAnsi"/>
                      <w:b/>
                      <w:bCs/>
                      <w:color w:val="FFFFFF" w:themeColor="background1"/>
                      <w:sz w:val="24"/>
                      <w:szCs w:val="24"/>
                      <w:lang w:eastAsia="ru-RU"/>
                    </w:rPr>
                    <w:t>Price (£)</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b/>
                      <w:bCs/>
                      <w:color w:val="000000"/>
                      <w:sz w:val="24"/>
                      <w:szCs w:val="24"/>
                      <w:lang w:eastAsia="ru-RU"/>
                    </w:rPr>
                  </w:pP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b/>
                      <w:bCs/>
                      <w:color w:val="000000"/>
                      <w:sz w:val="24"/>
                      <w:szCs w:val="24"/>
                      <w:lang w:eastAsia="ru-RU"/>
                    </w:rPr>
                  </w:pP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b/>
                      <w:bCs/>
                      <w:color w:val="000000"/>
                      <w:sz w:val="24"/>
                      <w:szCs w:val="24"/>
                      <w:lang w:eastAsia="ru-RU"/>
                    </w:rPr>
                  </w:pP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b/>
                      <w:bCs/>
                      <w:color w:val="000000"/>
                      <w:sz w:val="24"/>
                      <w:szCs w:val="24"/>
                      <w:lang w:eastAsia="ru-RU"/>
                    </w:rPr>
                  </w:pP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Jan</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332,7</w:t>
                  </w:r>
                </w:p>
              </w:tc>
              <w:tc>
                <w:tcPr>
                  <w:tcW w:w="19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215 985</w:t>
                  </w:r>
                </w:p>
              </w:tc>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362,4</w:t>
                  </w:r>
                </w:p>
              </w:tc>
              <w:tc>
                <w:tcPr>
                  <w:tcW w:w="1308"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333 591</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Feb</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332,6</w:t>
                  </w: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215 929</w:t>
                  </w: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359</w:t>
                  </w: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330 414</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March</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335,5</w:t>
                  </w:r>
                </w:p>
              </w:tc>
              <w:tc>
                <w:tcPr>
                  <w:tcW w:w="19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217 776</w:t>
                  </w:r>
                </w:p>
              </w:tc>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362,3</w:t>
                  </w:r>
                </w:p>
              </w:tc>
              <w:tc>
                <w:tcPr>
                  <w:tcW w:w="1308"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333 485</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Apr</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335,2</w:t>
                  </w: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217 612</w:t>
                  </w: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364,4</w:t>
                  </w: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335 390</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May</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346,9</w:t>
                  </w:r>
                </w:p>
              </w:tc>
              <w:tc>
                <w:tcPr>
                  <w:tcW w:w="19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225 205</w:t>
                  </w:r>
                </w:p>
              </w:tc>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364,1</w:t>
                  </w:r>
                </w:p>
              </w:tc>
              <w:tc>
                <w:tcPr>
                  <w:tcW w:w="1308"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335 165</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June</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353,7</w:t>
                  </w: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229 599</w:t>
                  </w: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366,1</w:t>
                  </w: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336 996</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July</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357,7</w:t>
                  </w:r>
                </w:p>
              </w:tc>
              <w:tc>
                <w:tcPr>
                  <w:tcW w:w="19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232 194</w:t>
                  </w:r>
                </w:p>
              </w:tc>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371,5</w:t>
                  </w:r>
                </w:p>
              </w:tc>
              <w:tc>
                <w:tcPr>
                  <w:tcW w:w="1308"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341 937</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Aug</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358,3</w:t>
                  </w: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232 612</w:t>
                  </w: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371,2</w:t>
                  </w: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341 669</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Sept</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350</w:t>
                  </w:r>
                </w:p>
              </w:tc>
              <w:tc>
                <w:tcPr>
                  <w:tcW w:w="19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227 209</w:t>
                  </w:r>
                </w:p>
              </w:tc>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369,7</w:t>
                  </w:r>
                </w:p>
              </w:tc>
              <w:tc>
                <w:tcPr>
                  <w:tcW w:w="1308"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340 320</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Oct</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345,8</w:t>
                  </w: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224 514</w:t>
                  </w: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369</w:t>
                  </w: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339 695</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Nov</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346,5</w:t>
                  </w:r>
                </w:p>
              </w:tc>
              <w:tc>
                <w:tcPr>
                  <w:tcW w:w="19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224 945</w:t>
                  </w:r>
                </w:p>
              </w:tc>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367,8</w:t>
                  </w:r>
                </w:p>
              </w:tc>
              <w:tc>
                <w:tcPr>
                  <w:tcW w:w="1308"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338 571</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Dec</w:t>
                  </w:r>
                  <w:r w:rsidRPr="00722FB9">
                    <w:rPr>
                      <w:rFonts w:eastAsia="Times New Roman" w:cstheme="minorHAnsi"/>
                      <w:color w:val="000000"/>
                      <w:sz w:val="24"/>
                      <w:szCs w:val="24"/>
                      <w:lang w:eastAsia="ru-RU"/>
                    </w:rPr>
                    <w:t>.10</w:t>
                  </w: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350,4</w:t>
                  </w: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227 492</w:t>
                  </w: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365</w:t>
                  </w: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335 979</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Jan</w:t>
                  </w:r>
                  <w:r w:rsidRPr="00722FB9">
                    <w:rPr>
                      <w:rFonts w:eastAsia="Times New Roman" w:cstheme="minorHAnsi"/>
                      <w:color w:val="000000"/>
                      <w:sz w:val="24"/>
                      <w:szCs w:val="24"/>
                      <w:lang w:eastAsia="ru-RU"/>
                    </w:rPr>
                    <w:t>.11</w:t>
                  </w:r>
                </w:p>
              </w:tc>
              <w:tc>
                <w:tcPr>
                  <w:tcW w:w="280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346,7</w:t>
                  </w:r>
                </w:p>
              </w:tc>
              <w:tc>
                <w:tcPr>
                  <w:tcW w:w="19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225 066</w:t>
                  </w:r>
                </w:p>
              </w:tc>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371,9</w:t>
                  </w:r>
                </w:p>
              </w:tc>
              <w:tc>
                <w:tcPr>
                  <w:tcW w:w="1308"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342 380</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Feb</w:t>
                  </w:r>
                  <w:r w:rsidRPr="00722FB9">
                    <w:rPr>
                      <w:rFonts w:eastAsia="Times New Roman" w:cstheme="minorHAnsi"/>
                      <w:color w:val="000000"/>
                      <w:sz w:val="24"/>
                      <w:szCs w:val="24"/>
                      <w:lang w:eastAsia="ru-RU"/>
                    </w:rPr>
                    <w:t>.11</w:t>
                  </w: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349,7</w:t>
                  </w: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227 046</w:t>
                  </w: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369,7</w:t>
                  </w: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340 334</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March</w:t>
                  </w:r>
                  <w:r w:rsidRPr="00722FB9">
                    <w:rPr>
                      <w:rFonts w:eastAsia="Times New Roman" w:cstheme="minorHAnsi"/>
                      <w:color w:val="000000"/>
                      <w:sz w:val="24"/>
                      <w:szCs w:val="24"/>
                      <w:lang w:eastAsia="ru-RU"/>
                    </w:rPr>
                    <w:t>.11</w:t>
                  </w:r>
                </w:p>
              </w:tc>
              <w:tc>
                <w:tcPr>
                  <w:tcW w:w="280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344,2</w:t>
                  </w:r>
                </w:p>
              </w:tc>
              <w:tc>
                <w:tcPr>
                  <w:tcW w:w="19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223 452</w:t>
                  </w:r>
                </w:p>
              </w:tc>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371</w:t>
                  </w:r>
                </w:p>
              </w:tc>
              <w:tc>
                <w:tcPr>
                  <w:tcW w:w="1308"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341 501</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Apr</w:t>
                  </w:r>
                  <w:r w:rsidRPr="00722FB9">
                    <w:rPr>
                      <w:rFonts w:eastAsia="Times New Roman" w:cstheme="minorHAnsi"/>
                      <w:color w:val="000000"/>
                      <w:sz w:val="24"/>
                      <w:szCs w:val="24"/>
                      <w:lang w:eastAsia="ru-RU"/>
                    </w:rPr>
                    <w:t>.11</w:t>
                  </w: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345,5</w:t>
                  </w: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224 268</w:t>
                  </w: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373,8</w:t>
                  </w: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344 066</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May</w:t>
                  </w:r>
                  <w:r w:rsidRPr="00722FB9">
                    <w:rPr>
                      <w:rFonts w:eastAsia="Times New Roman" w:cstheme="minorHAnsi"/>
                      <w:color w:val="000000"/>
                      <w:sz w:val="24"/>
                      <w:szCs w:val="24"/>
                      <w:lang w:eastAsia="ru-RU"/>
                    </w:rPr>
                    <w:t>.11</w:t>
                  </w:r>
                </w:p>
              </w:tc>
              <w:tc>
                <w:tcPr>
                  <w:tcW w:w="280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350,5</w:t>
                  </w:r>
                </w:p>
              </w:tc>
              <w:tc>
                <w:tcPr>
                  <w:tcW w:w="19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227 553</w:t>
                  </w:r>
                </w:p>
              </w:tc>
              <w:tc>
                <w:tcPr>
                  <w:tcW w:w="1328" w:type="dxa"/>
                  <w:tcBorders>
                    <w:top w:val="nil"/>
                    <w:left w:val="nil"/>
                    <w:bottom w:val="single" w:sz="4" w:space="0" w:color="FFFFFF"/>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374,6</w:t>
                  </w:r>
                </w:p>
              </w:tc>
              <w:tc>
                <w:tcPr>
                  <w:tcW w:w="1308" w:type="dxa"/>
                  <w:tcBorders>
                    <w:top w:val="nil"/>
                    <w:left w:val="nil"/>
                    <w:bottom w:val="single" w:sz="4" w:space="0" w:color="FFFFFF"/>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344 819</w:t>
                  </w:r>
                </w:p>
              </w:tc>
            </w:tr>
            <w:tr w:rsidR="00AD518A" w:rsidRPr="00722FB9" w:rsidTr="00363940">
              <w:trPr>
                <w:trHeight w:val="315"/>
              </w:trPr>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280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9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328" w:type="dxa"/>
                  <w:tcBorders>
                    <w:top w:val="nil"/>
                    <w:left w:val="nil"/>
                    <w:bottom w:val="single" w:sz="4" w:space="0" w:color="FFFFFF"/>
                    <w:right w:val="single" w:sz="4" w:space="0" w:color="FFFFFF"/>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308" w:type="dxa"/>
                  <w:tcBorders>
                    <w:top w:val="nil"/>
                    <w:left w:val="nil"/>
                    <w:bottom w:val="single" w:sz="4" w:space="0" w:color="FFFFFF"/>
                    <w:right w:val="nil"/>
                  </w:tcBorders>
                  <w:shd w:val="clear" w:color="DBE5F1" w:fill="DBE5F1"/>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r>
            <w:tr w:rsidR="00AD518A" w:rsidRPr="00722FB9" w:rsidTr="00363940">
              <w:trPr>
                <w:trHeight w:val="315"/>
              </w:trPr>
              <w:tc>
                <w:tcPr>
                  <w:tcW w:w="1328" w:type="dxa"/>
                  <w:tcBorders>
                    <w:top w:val="nil"/>
                    <w:left w:val="nil"/>
                    <w:bottom w:val="nil"/>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val="en-US" w:eastAsia="ru-RU"/>
                    </w:rPr>
                    <w:t>R</w:t>
                  </w:r>
                  <w:r w:rsidRPr="00722FB9">
                    <w:rPr>
                      <w:rFonts w:eastAsia="Times New Roman" w:cstheme="minorHAnsi"/>
                      <w:color w:val="000000"/>
                      <w:sz w:val="24"/>
                      <w:szCs w:val="24"/>
                      <w:lang w:eastAsia="ru-RU"/>
                    </w:rPr>
                    <w:t>ate</w:t>
                  </w:r>
                </w:p>
              </w:tc>
              <w:tc>
                <w:tcPr>
                  <w:tcW w:w="2808" w:type="dxa"/>
                  <w:tcBorders>
                    <w:top w:val="nil"/>
                    <w:left w:val="nil"/>
                    <w:bottom w:val="nil"/>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928" w:type="dxa"/>
                  <w:tcBorders>
                    <w:top w:val="nil"/>
                    <w:left w:val="nil"/>
                    <w:bottom w:val="nil"/>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5,36%</w:t>
                  </w:r>
                </w:p>
              </w:tc>
              <w:tc>
                <w:tcPr>
                  <w:tcW w:w="1328" w:type="dxa"/>
                  <w:tcBorders>
                    <w:top w:val="nil"/>
                    <w:left w:val="nil"/>
                    <w:bottom w:val="nil"/>
                    <w:right w:val="single" w:sz="4" w:space="0" w:color="FFFFFF"/>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p>
              </w:tc>
              <w:tc>
                <w:tcPr>
                  <w:tcW w:w="1308" w:type="dxa"/>
                  <w:tcBorders>
                    <w:top w:val="nil"/>
                    <w:left w:val="nil"/>
                    <w:bottom w:val="nil"/>
                    <w:right w:val="nil"/>
                  </w:tcBorders>
                  <w:shd w:val="clear" w:color="B8CCE4" w:fill="B8CCE4"/>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eastAsia="ru-RU"/>
                    </w:rPr>
                  </w:pPr>
                  <w:r w:rsidRPr="00722FB9">
                    <w:rPr>
                      <w:rFonts w:eastAsia="Times New Roman" w:cstheme="minorHAnsi"/>
                      <w:color w:val="000000"/>
                      <w:sz w:val="24"/>
                      <w:szCs w:val="24"/>
                      <w:lang w:eastAsia="ru-RU"/>
                    </w:rPr>
                    <w:t>3,37%</w:t>
                  </w:r>
                </w:p>
              </w:tc>
            </w:tr>
          </w:tbl>
          <w:p w:rsidR="00AD518A" w:rsidRPr="00722FB9" w:rsidRDefault="00AD518A" w:rsidP="005E10A2">
            <w:pPr>
              <w:spacing w:after="0" w:line="480" w:lineRule="auto"/>
              <w:jc w:val="both"/>
              <w:rPr>
                <w:rFonts w:eastAsia="Times New Roman" w:cstheme="minorHAnsi"/>
                <w:b/>
                <w:bCs/>
                <w:color w:val="000000"/>
                <w:sz w:val="24"/>
                <w:szCs w:val="24"/>
                <w:lang w:val="en-US" w:eastAsia="ru-RU"/>
              </w:rPr>
            </w:pPr>
          </w:p>
        </w:tc>
      </w:tr>
      <w:tr w:rsidR="00AD518A" w:rsidRPr="00722FB9" w:rsidTr="00363940">
        <w:trPr>
          <w:trHeight w:val="315"/>
        </w:trPr>
        <w:tc>
          <w:tcPr>
            <w:tcW w:w="6073" w:type="dxa"/>
            <w:tcBorders>
              <w:top w:val="nil"/>
              <w:left w:val="nil"/>
              <w:bottom w:val="nil"/>
              <w:right w:val="nil"/>
            </w:tcBorders>
            <w:shd w:val="clear" w:color="auto" w:fill="auto"/>
            <w:noWrap/>
            <w:vAlign w:val="bottom"/>
            <w:hideMark/>
          </w:tcPr>
          <w:p w:rsidR="00AD518A" w:rsidRPr="00722FB9" w:rsidRDefault="00AD518A" w:rsidP="005E10A2">
            <w:pPr>
              <w:spacing w:after="0" w:line="480" w:lineRule="auto"/>
              <w:jc w:val="both"/>
              <w:rPr>
                <w:rFonts w:eastAsia="Times New Roman" w:cstheme="minorHAnsi"/>
                <w:b/>
                <w:bCs/>
                <w:color w:val="000000"/>
                <w:sz w:val="24"/>
                <w:szCs w:val="24"/>
                <w:lang w:val="en-US" w:eastAsia="ru-RU"/>
              </w:rPr>
            </w:pPr>
          </w:p>
        </w:tc>
        <w:tc>
          <w:tcPr>
            <w:tcW w:w="2843" w:type="dxa"/>
            <w:tcBorders>
              <w:top w:val="nil"/>
              <w:left w:val="nil"/>
              <w:bottom w:val="nil"/>
              <w:right w:val="nil"/>
            </w:tcBorders>
            <w:shd w:val="clear" w:color="auto" w:fill="auto"/>
            <w:noWrap/>
            <w:vAlign w:val="bottom"/>
            <w:hideMark/>
          </w:tcPr>
          <w:p w:rsidR="00AD518A" w:rsidRPr="00722FB9" w:rsidRDefault="00AD518A" w:rsidP="005E10A2">
            <w:pPr>
              <w:spacing w:after="0" w:line="480" w:lineRule="auto"/>
              <w:jc w:val="both"/>
              <w:rPr>
                <w:rFonts w:eastAsia="Times New Roman" w:cstheme="minorHAnsi"/>
                <w:color w:val="000000"/>
                <w:sz w:val="24"/>
                <w:szCs w:val="24"/>
                <w:lang w:val="en-US" w:eastAsia="ru-RU"/>
              </w:rPr>
            </w:pPr>
          </w:p>
        </w:tc>
      </w:tr>
    </w:tbl>
    <w:p w:rsidR="00AD518A" w:rsidRPr="00722FB9" w:rsidRDefault="00AD518A" w:rsidP="005E10A2">
      <w:pPr>
        <w:spacing w:after="0" w:line="480" w:lineRule="auto"/>
        <w:jc w:val="both"/>
        <w:rPr>
          <w:rFonts w:eastAsia="Times New Roman" w:cstheme="minorHAnsi"/>
          <w:color w:val="000000"/>
          <w:sz w:val="24"/>
          <w:szCs w:val="24"/>
          <w:lang w:val="en-US" w:eastAsia="ru-RU"/>
        </w:rPr>
      </w:pPr>
      <w:r w:rsidRPr="00722FB9">
        <w:rPr>
          <w:rFonts w:eastAsia="Times New Roman" w:cstheme="minorHAnsi"/>
          <w:color w:val="000000"/>
          <w:sz w:val="24"/>
          <w:szCs w:val="24"/>
          <w:lang w:val="en-US" w:eastAsia="ru-RU"/>
        </w:rPr>
        <w:t xml:space="preserve">*Source: </w:t>
      </w:r>
      <w:hyperlink r:id="rId12" w:history="1">
        <w:r w:rsidRPr="00722FB9">
          <w:rPr>
            <w:rStyle w:val="Hyperlink"/>
            <w:rFonts w:eastAsia="Times New Roman" w:cstheme="minorHAnsi"/>
            <w:sz w:val="24"/>
            <w:szCs w:val="24"/>
            <w:lang w:val="en-US" w:eastAsia="ru-RU"/>
          </w:rPr>
          <w:t>http://www.landregistry.gov.uk</w:t>
        </w:r>
      </w:hyperlink>
      <w:r w:rsidRPr="00722FB9">
        <w:rPr>
          <w:rFonts w:eastAsia="Times New Roman" w:cstheme="minorHAnsi"/>
          <w:color w:val="000000"/>
          <w:sz w:val="24"/>
          <w:szCs w:val="24"/>
          <w:lang w:val="en-US" w:eastAsia="ru-RU"/>
        </w:rPr>
        <w:t xml:space="preserve"> </w:t>
      </w: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sz w:val="24"/>
          <w:szCs w:val="24"/>
          <w:u w:val="single"/>
          <w:lang w:val="en-US"/>
        </w:rPr>
        <w:t xml:space="preserve">Graph 1: House Price Index Comparison Newham London borough vs London Region </w:t>
      </w: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p>
    <w:p w:rsidR="00AD518A" w:rsidRPr="00722FB9" w:rsidRDefault="00AD518A" w:rsidP="005E10A2">
      <w:pPr>
        <w:spacing w:line="480" w:lineRule="auto"/>
        <w:jc w:val="both"/>
        <w:rPr>
          <w:rFonts w:cstheme="minorHAnsi"/>
          <w:b/>
          <w:sz w:val="24"/>
          <w:szCs w:val="24"/>
          <w:u w:val="single"/>
          <w:lang w:val="en-US"/>
        </w:rPr>
      </w:pPr>
      <w:r w:rsidRPr="00722FB9">
        <w:rPr>
          <w:rFonts w:cstheme="minorHAnsi"/>
          <w:b/>
          <w:noProof/>
          <w:sz w:val="24"/>
          <w:szCs w:val="24"/>
          <w:u w:val="single"/>
        </w:rPr>
        <w:drawing>
          <wp:inline distT="0" distB="0" distL="0" distR="0" wp14:anchorId="2EDBE374" wp14:editId="44B1A15F">
            <wp:extent cx="4300703" cy="2852928"/>
            <wp:effectExtent l="19050" t="19050" r="23647" b="23622"/>
            <wp:docPr id="3" name="Рисунок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3" cstate="print"/>
                    <a:stretch>
                      <a:fillRect/>
                    </a:stretch>
                  </pic:blipFill>
                  <pic:spPr>
                    <a:xfrm>
                      <a:off x="0" y="0"/>
                      <a:ext cx="4300267" cy="2852639"/>
                    </a:xfrm>
                    <a:prstGeom prst="rect">
                      <a:avLst/>
                    </a:prstGeom>
                    <a:solidFill>
                      <a:schemeClr val="tx1">
                        <a:alpha val="93000"/>
                      </a:schemeClr>
                    </a:solidFill>
                    <a:ln>
                      <a:solidFill>
                        <a:schemeClr val="tx1"/>
                      </a:solidFill>
                    </a:ln>
                  </pic:spPr>
                </pic:pic>
              </a:graphicData>
            </a:graphic>
          </wp:inline>
        </w:drawing>
      </w:r>
    </w:p>
    <w:p w:rsidR="00DC5D59" w:rsidRPr="00722FB9" w:rsidRDefault="00DC5D59" w:rsidP="005E10A2">
      <w:pPr>
        <w:spacing w:line="480" w:lineRule="auto"/>
        <w:jc w:val="both"/>
        <w:rPr>
          <w:rFonts w:cstheme="minorHAnsi"/>
          <w:sz w:val="24"/>
          <w:szCs w:val="24"/>
        </w:rPr>
      </w:pPr>
    </w:p>
    <w:p w:rsidR="00533BCF" w:rsidRPr="00722FB9" w:rsidRDefault="00533BCF" w:rsidP="005E10A2">
      <w:pPr>
        <w:spacing w:line="480" w:lineRule="auto"/>
        <w:jc w:val="both"/>
        <w:rPr>
          <w:rFonts w:cstheme="minorHAnsi"/>
          <w:sz w:val="24"/>
          <w:szCs w:val="24"/>
        </w:rPr>
      </w:pPr>
    </w:p>
    <w:sectPr w:rsidR="00533BCF" w:rsidRPr="00722FB9">
      <w:headerReference w:type="default" r:id="rId1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FB9" w:rsidRDefault="00722FB9" w:rsidP="00722FB9">
      <w:pPr>
        <w:spacing w:after="0" w:line="240" w:lineRule="auto"/>
      </w:pPr>
      <w:r>
        <w:separator/>
      </w:r>
    </w:p>
  </w:endnote>
  <w:endnote w:type="continuationSeparator" w:id="0">
    <w:p w:rsidR="00722FB9" w:rsidRDefault="00722FB9" w:rsidP="00722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FB9" w:rsidRDefault="00722FB9" w:rsidP="00722FB9">
      <w:pPr>
        <w:spacing w:after="0" w:line="240" w:lineRule="auto"/>
      </w:pPr>
      <w:r>
        <w:separator/>
      </w:r>
    </w:p>
  </w:footnote>
  <w:footnote w:type="continuationSeparator" w:id="0">
    <w:p w:rsidR="00722FB9" w:rsidRDefault="00722FB9" w:rsidP="00722F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A2" w:rsidRDefault="005E10A2">
    <w:pPr>
      <w:pStyle w:val="Header"/>
      <w:jc w:val="right"/>
      <w:rPr>
        <w:lang w:val="en-GB"/>
      </w:rPr>
    </w:pPr>
    <w:r>
      <w:rPr>
        <w:lang w:val="en-GB"/>
      </w:rPr>
      <w:t xml:space="preserve">Group 2 </w:t>
    </w:r>
  </w:p>
  <w:p w:rsidR="00722FB9" w:rsidRDefault="00722FB9">
    <w:pPr>
      <w:pStyle w:val="Header"/>
      <w:jc w:val="right"/>
    </w:pPr>
    <w:r>
      <w:rPr>
        <w:lang w:val="en-GB"/>
      </w:rPr>
      <w:t xml:space="preserve">Page </w:t>
    </w:r>
    <w:sdt>
      <w:sdtPr>
        <w:id w:val="12227432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06E8F">
          <w:rPr>
            <w:noProof/>
          </w:rPr>
          <w:t>6</w:t>
        </w:r>
        <w:r>
          <w:rPr>
            <w:noProof/>
          </w:rPr>
          <w:fldChar w:fldCharType="end"/>
        </w:r>
      </w:sdtContent>
    </w:sdt>
  </w:p>
  <w:p w:rsidR="00722FB9" w:rsidRDefault="00722FB9" w:rsidP="00722FB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52EF2"/>
    <w:multiLevelType w:val="hybridMultilevel"/>
    <w:tmpl w:val="4EC659AE"/>
    <w:lvl w:ilvl="0" w:tplc="77AA19B4">
      <w:start w:val="1"/>
      <w:numFmt w:val="lowerLetter"/>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4BD74ECA"/>
    <w:multiLevelType w:val="hybridMultilevel"/>
    <w:tmpl w:val="F6CC811A"/>
    <w:lvl w:ilvl="0" w:tplc="509E162C">
      <w:start w:val="1"/>
      <w:numFmt w:val="lowerLetter"/>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4C4701F3"/>
    <w:multiLevelType w:val="hybridMultilevel"/>
    <w:tmpl w:val="6D8402D4"/>
    <w:lvl w:ilvl="0" w:tplc="BC22E966">
      <w:start w:val="344"/>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9527E4"/>
    <w:multiLevelType w:val="hybridMultilevel"/>
    <w:tmpl w:val="C19E44B0"/>
    <w:lvl w:ilvl="0" w:tplc="A65457AC">
      <w:start w:val="20"/>
      <w:numFmt w:val="bullet"/>
      <w:lvlText w:val=""/>
      <w:lvlJc w:val="left"/>
      <w:pPr>
        <w:ind w:left="1140" w:hanging="360"/>
      </w:pPr>
      <w:rPr>
        <w:rFonts w:ascii="Symbol" w:eastAsiaTheme="minorHAnsi" w:hAnsi="Symbol" w:cs="Aria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
    <w:nsid w:val="5A7755DD"/>
    <w:multiLevelType w:val="hybridMultilevel"/>
    <w:tmpl w:val="AF340B7A"/>
    <w:lvl w:ilvl="0" w:tplc="D9BA6994">
      <w:start w:val="20"/>
      <w:numFmt w:val="bullet"/>
      <w:lvlText w:val="-"/>
      <w:lvlJc w:val="left"/>
      <w:pPr>
        <w:ind w:left="780" w:hanging="360"/>
      </w:pPr>
      <w:rPr>
        <w:rFonts w:ascii="Arial" w:eastAsiaTheme="minorHAnsi" w:hAnsi="Arial" w:cs="Aria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787D157C"/>
    <w:multiLevelType w:val="hybridMultilevel"/>
    <w:tmpl w:val="CD9A330A"/>
    <w:lvl w:ilvl="0" w:tplc="F22E6A98">
      <w:start w:val="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070"/>
    <w:rsid w:val="00004B6E"/>
    <w:rsid w:val="000824FC"/>
    <w:rsid w:val="000A5EC7"/>
    <w:rsid w:val="000B3FFD"/>
    <w:rsid w:val="000E27E1"/>
    <w:rsid w:val="00103354"/>
    <w:rsid w:val="00126604"/>
    <w:rsid w:val="00162D05"/>
    <w:rsid w:val="00173A83"/>
    <w:rsid w:val="0017484D"/>
    <w:rsid w:val="001F3350"/>
    <w:rsid w:val="002032BC"/>
    <w:rsid w:val="00206F3A"/>
    <w:rsid w:val="00210ABA"/>
    <w:rsid w:val="00250DC7"/>
    <w:rsid w:val="002527DD"/>
    <w:rsid w:val="00253E82"/>
    <w:rsid w:val="00256070"/>
    <w:rsid w:val="00274179"/>
    <w:rsid w:val="00294E30"/>
    <w:rsid w:val="002A0A05"/>
    <w:rsid w:val="002A4B4B"/>
    <w:rsid w:val="002C52C0"/>
    <w:rsid w:val="002D4DF1"/>
    <w:rsid w:val="002E09D7"/>
    <w:rsid w:val="003372DD"/>
    <w:rsid w:val="00351A57"/>
    <w:rsid w:val="00363940"/>
    <w:rsid w:val="0037069D"/>
    <w:rsid w:val="00380851"/>
    <w:rsid w:val="00382347"/>
    <w:rsid w:val="003D09DE"/>
    <w:rsid w:val="00403397"/>
    <w:rsid w:val="00450A54"/>
    <w:rsid w:val="004639BA"/>
    <w:rsid w:val="00472AA7"/>
    <w:rsid w:val="004A2C1B"/>
    <w:rsid w:val="004A62DD"/>
    <w:rsid w:val="004C6CBC"/>
    <w:rsid w:val="004D659B"/>
    <w:rsid w:val="00526257"/>
    <w:rsid w:val="00533BCF"/>
    <w:rsid w:val="00584198"/>
    <w:rsid w:val="005A3C4C"/>
    <w:rsid w:val="005C58D2"/>
    <w:rsid w:val="005D77D4"/>
    <w:rsid w:val="005E10A2"/>
    <w:rsid w:val="005E1D19"/>
    <w:rsid w:val="005F4B7D"/>
    <w:rsid w:val="006169EC"/>
    <w:rsid w:val="0065675F"/>
    <w:rsid w:val="00662E50"/>
    <w:rsid w:val="006720EC"/>
    <w:rsid w:val="006871FB"/>
    <w:rsid w:val="006A6980"/>
    <w:rsid w:val="006C657B"/>
    <w:rsid w:val="006D279F"/>
    <w:rsid w:val="006D2DF8"/>
    <w:rsid w:val="00706E8F"/>
    <w:rsid w:val="00722FB9"/>
    <w:rsid w:val="007231A8"/>
    <w:rsid w:val="00751C12"/>
    <w:rsid w:val="00781DAE"/>
    <w:rsid w:val="00786B10"/>
    <w:rsid w:val="007970F7"/>
    <w:rsid w:val="007B08DC"/>
    <w:rsid w:val="007E1E37"/>
    <w:rsid w:val="00813A39"/>
    <w:rsid w:val="00822ABA"/>
    <w:rsid w:val="0083226D"/>
    <w:rsid w:val="00834AEF"/>
    <w:rsid w:val="00845CD1"/>
    <w:rsid w:val="00872E25"/>
    <w:rsid w:val="008742F4"/>
    <w:rsid w:val="008C3852"/>
    <w:rsid w:val="008D7703"/>
    <w:rsid w:val="00914F82"/>
    <w:rsid w:val="009359DB"/>
    <w:rsid w:val="00966201"/>
    <w:rsid w:val="00971EF0"/>
    <w:rsid w:val="00A24D51"/>
    <w:rsid w:val="00A40F47"/>
    <w:rsid w:val="00AA2A58"/>
    <w:rsid w:val="00AC61BC"/>
    <w:rsid w:val="00AD00E5"/>
    <w:rsid w:val="00AD518A"/>
    <w:rsid w:val="00AD6DF6"/>
    <w:rsid w:val="00AF4D58"/>
    <w:rsid w:val="00B32B2E"/>
    <w:rsid w:val="00B34E1A"/>
    <w:rsid w:val="00B37994"/>
    <w:rsid w:val="00B70E4B"/>
    <w:rsid w:val="00BA08E8"/>
    <w:rsid w:val="00BA7A5B"/>
    <w:rsid w:val="00BB0D7C"/>
    <w:rsid w:val="00BB4FA2"/>
    <w:rsid w:val="00C129F2"/>
    <w:rsid w:val="00C86F27"/>
    <w:rsid w:val="00CA1608"/>
    <w:rsid w:val="00D424D9"/>
    <w:rsid w:val="00DB7F74"/>
    <w:rsid w:val="00DC5D59"/>
    <w:rsid w:val="00DF7175"/>
    <w:rsid w:val="00E74D2A"/>
    <w:rsid w:val="00E86891"/>
    <w:rsid w:val="00EC0BF2"/>
    <w:rsid w:val="00EC546F"/>
    <w:rsid w:val="00F153EE"/>
    <w:rsid w:val="00F619AA"/>
    <w:rsid w:val="00FA59C8"/>
    <w:rsid w:val="00FE47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6070"/>
    <w:pPr>
      <w:spacing w:after="200" w:line="276" w:lineRule="auto"/>
    </w:pPr>
    <w:rPr>
      <w:rFonts w:asciiTheme="minorHAnsi" w:eastAsiaTheme="minorEastAsia" w:hAnsiTheme="minorHAnsi" w:cstheme="minorBid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56070"/>
  </w:style>
  <w:style w:type="character" w:customStyle="1" w:styleId="ft">
    <w:name w:val="ft"/>
    <w:basedOn w:val="DefaultParagraphFont"/>
    <w:rsid w:val="00256070"/>
  </w:style>
  <w:style w:type="paragraph" w:styleId="CommentText">
    <w:name w:val="annotation text"/>
    <w:basedOn w:val="Normal"/>
    <w:link w:val="CommentTextChar"/>
    <w:uiPriority w:val="99"/>
    <w:unhideWhenUsed/>
    <w:rsid w:val="00472AA7"/>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472AA7"/>
    <w:rPr>
      <w:rFonts w:asciiTheme="minorHAnsi" w:hAnsiTheme="minorHAnsi" w:cstheme="minorBidi"/>
    </w:rPr>
  </w:style>
  <w:style w:type="character" w:styleId="CommentReference">
    <w:name w:val="annotation reference"/>
    <w:basedOn w:val="DefaultParagraphFont"/>
    <w:uiPriority w:val="99"/>
    <w:unhideWhenUsed/>
    <w:rsid w:val="00472AA7"/>
    <w:rPr>
      <w:sz w:val="16"/>
      <w:szCs w:val="16"/>
    </w:rPr>
  </w:style>
  <w:style w:type="character" w:customStyle="1" w:styleId="apple-converted-space">
    <w:name w:val="apple-converted-space"/>
    <w:basedOn w:val="DefaultParagraphFont"/>
    <w:rsid w:val="00472AA7"/>
  </w:style>
  <w:style w:type="character" w:styleId="Strong">
    <w:name w:val="Strong"/>
    <w:basedOn w:val="DefaultParagraphFont"/>
    <w:uiPriority w:val="22"/>
    <w:qFormat/>
    <w:rsid w:val="00472AA7"/>
    <w:rPr>
      <w:b/>
      <w:bCs/>
    </w:rPr>
  </w:style>
  <w:style w:type="paragraph" w:styleId="BalloonText">
    <w:name w:val="Balloon Text"/>
    <w:basedOn w:val="Normal"/>
    <w:link w:val="BalloonTextChar"/>
    <w:uiPriority w:val="99"/>
    <w:rsid w:val="0047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72AA7"/>
    <w:rPr>
      <w:rFonts w:ascii="Tahoma" w:eastAsiaTheme="minorEastAsia" w:hAnsi="Tahoma" w:cs="Tahoma"/>
      <w:sz w:val="16"/>
      <w:szCs w:val="16"/>
      <w:lang w:eastAsia="en-GB"/>
    </w:rPr>
  </w:style>
  <w:style w:type="paragraph" w:styleId="ListParagraph">
    <w:name w:val="List Paragraph"/>
    <w:basedOn w:val="Normal"/>
    <w:uiPriority w:val="34"/>
    <w:qFormat/>
    <w:rsid w:val="00AD518A"/>
    <w:pPr>
      <w:ind w:left="720"/>
      <w:contextualSpacing/>
    </w:pPr>
    <w:rPr>
      <w:rFonts w:eastAsiaTheme="minorHAnsi"/>
      <w:lang w:val="ru-RU" w:eastAsia="en-US"/>
    </w:rPr>
  </w:style>
  <w:style w:type="table" w:styleId="TableGrid">
    <w:name w:val="Table Grid"/>
    <w:basedOn w:val="TableNormal"/>
    <w:uiPriority w:val="59"/>
    <w:rsid w:val="00AD518A"/>
    <w:rPr>
      <w:rFonts w:asciiTheme="minorHAnsi" w:hAnsiTheme="minorHAnsi" w:cstheme="minorBid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D518A"/>
    <w:pPr>
      <w:tabs>
        <w:tab w:val="center" w:pos="4677"/>
        <w:tab w:val="right" w:pos="9355"/>
      </w:tabs>
      <w:spacing w:after="0" w:line="240" w:lineRule="auto"/>
    </w:pPr>
    <w:rPr>
      <w:rFonts w:eastAsiaTheme="minorHAnsi"/>
      <w:lang w:val="ru-RU" w:eastAsia="en-US"/>
    </w:rPr>
  </w:style>
  <w:style w:type="character" w:customStyle="1" w:styleId="HeaderChar">
    <w:name w:val="Header Char"/>
    <w:basedOn w:val="DefaultParagraphFont"/>
    <w:link w:val="Header"/>
    <w:uiPriority w:val="99"/>
    <w:rsid w:val="00AD518A"/>
    <w:rPr>
      <w:rFonts w:asciiTheme="minorHAnsi" w:hAnsiTheme="minorHAnsi" w:cstheme="minorBidi"/>
      <w:sz w:val="22"/>
      <w:szCs w:val="22"/>
      <w:lang w:val="ru-RU"/>
    </w:rPr>
  </w:style>
  <w:style w:type="paragraph" w:styleId="Footer">
    <w:name w:val="footer"/>
    <w:basedOn w:val="Normal"/>
    <w:link w:val="FooterChar"/>
    <w:uiPriority w:val="99"/>
    <w:unhideWhenUsed/>
    <w:rsid w:val="00AD518A"/>
    <w:pPr>
      <w:tabs>
        <w:tab w:val="center" w:pos="4677"/>
        <w:tab w:val="right" w:pos="9355"/>
      </w:tabs>
      <w:spacing w:after="0" w:line="240" w:lineRule="auto"/>
    </w:pPr>
    <w:rPr>
      <w:rFonts w:eastAsiaTheme="minorHAnsi"/>
      <w:lang w:val="ru-RU" w:eastAsia="en-US"/>
    </w:rPr>
  </w:style>
  <w:style w:type="character" w:customStyle="1" w:styleId="FooterChar">
    <w:name w:val="Footer Char"/>
    <w:basedOn w:val="DefaultParagraphFont"/>
    <w:link w:val="Footer"/>
    <w:uiPriority w:val="99"/>
    <w:rsid w:val="00AD518A"/>
    <w:rPr>
      <w:rFonts w:asciiTheme="minorHAnsi" w:hAnsiTheme="minorHAnsi" w:cstheme="minorBidi"/>
      <w:sz w:val="22"/>
      <w:szCs w:val="22"/>
      <w:lang w:val="ru-RU"/>
    </w:rPr>
  </w:style>
  <w:style w:type="character" w:styleId="Hyperlink">
    <w:name w:val="Hyperlink"/>
    <w:basedOn w:val="DefaultParagraphFont"/>
    <w:uiPriority w:val="99"/>
    <w:unhideWhenUsed/>
    <w:rsid w:val="00AD51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6070"/>
    <w:pPr>
      <w:spacing w:after="200" w:line="276" w:lineRule="auto"/>
    </w:pPr>
    <w:rPr>
      <w:rFonts w:asciiTheme="minorHAnsi" w:eastAsiaTheme="minorEastAsia" w:hAnsiTheme="minorHAnsi" w:cstheme="minorBid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56070"/>
  </w:style>
  <w:style w:type="character" w:customStyle="1" w:styleId="ft">
    <w:name w:val="ft"/>
    <w:basedOn w:val="DefaultParagraphFont"/>
    <w:rsid w:val="00256070"/>
  </w:style>
  <w:style w:type="paragraph" w:styleId="CommentText">
    <w:name w:val="annotation text"/>
    <w:basedOn w:val="Normal"/>
    <w:link w:val="CommentTextChar"/>
    <w:uiPriority w:val="99"/>
    <w:unhideWhenUsed/>
    <w:rsid w:val="00472AA7"/>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472AA7"/>
    <w:rPr>
      <w:rFonts w:asciiTheme="minorHAnsi" w:hAnsiTheme="minorHAnsi" w:cstheme="minorBidi"/>
    </w:rPr>
  </w:style>
  <w:style w:type="character" w:styleId="CommentReference">
    <w:name w:val="annotation reference"/>
    <w:basedOn w:val="DefaultParagraphFont"/>
    <w:uiPriority w:val="99"/>
    <w:unhideWhenUsed/>
    <w:rsid w:val="00472AA7"/>
    <w:rPr>
      <w:sz w:val="16"/>
      <w:szCs w:val="16"/>
    </w:rPr>
  </w:style>
  <w:style w:type="character" w:customStyle="1" w:styleId="apple-converted-space">
    <w:name w:val="apple-converted-space"/>
    <w:basedOn w:val="DefaultParagraphFont"/>
    <w:rsid w:val="00472AA7"/>
  </w:style>
  <w:style w:type="character" w:styleId="Strong">
    <w:name w:val="Strong"/>
    <w:basedOn w:val="DefaultParagraphFont"/>
    <w:uiPriority w:val="22"/>
    <w:qFormat/>
    <w:rsid w:val="00472AA7"/>
    <w:rPr>
      <w:b/>
      <w:bCs/>
    </w:rPr>
  </w:style>
  <w:style w:type="paragraph" w:styleId="BalloonText">
    <w:name w:val="Balloon Text"/>
    <w:basedOn w:val="Normal"/>
    <w:link w:val="BalloonTextChar"/>
    <w:uiPriority w:val="99"/>
    <w:rsid w:val="00472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72AA7"/>
    <w:rPr>
      <w:rFonts w:ascii="Tahoma" w:eastAsiaTheme="minorEastAsia" w:hAnsi="Tahoma" w:cs="Tahoma"/>
      <w:sz w:val="16"/>
      <w:szCs w:val="16"/>
      <w:lang w:eastAsia="en-GB"/>
    </w:rPr>
  </w:style>
  <w:style w:type="paragraph" w:styleId="ListParagraph">
    <w:name w:val="List Paragraph"/>
    <w:basedOn w:val="Normal"/>
    <w:uiPriority w:val="34"/>
    <w:qFormat/>
    <w:rsid w:val="00AD518A"/>
    <w:pPr>
      <w:ind w:left="720"/>
      <w:contextualSpacing/>
    </w:pPr>
    <w:rPr>
      <w:rFonts w:eastAsiaTheme="minorHAnsi"/>
      <w:lang w:val="ru-RU" w:eastAsia="en-US"/>
    </w:rPr>
  </w:style>
  <w:style w:type="table" w:styleId="TableGrid">
    <w:name w:val="Table Grid"/>
    <w:basedOn w:val="TableNormal"/>
    <w:uiPriority w:val="59"/>
    <w:rsid w:val="00AD518A"/>
    <w:rPr>
      <w:rFonts w:asciiTheme="minorHAnsi" w:hAnsiTheme="minorHAnsi" w:cstheme="minorBid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D518A"/>
    <w:pPr>
      <w:tabs>
        <w:tab w:val="center" w:pos="4677"/>
        <w:tab w:val="right" w:pos="9355"/>
      </w:tabs>
      <w:spacing w:after="0" w:line="240" w:lineRule="auto"/>
    </w:pPr>
    <w:rPr>
      <w:rFonts w:eastAsiaTheme="minorHAnsi"/>
      <w:lang w:val="ru-RU" w:eastAsia="en-US"/>
    </w:rPr>
  </w:style>
  <w:style w:type="character" w:customStyle="1" w:styleId="HeaderChar">
    <w:name w:val="Header Char"/>
    <w:basedOn w:val="DefaultParagraphFont"/>
    <w:link w:val="Header"/>
    <w:uiPriority w:val="99"/>
    <w:rsid w:val="00AD518A"/>
    <w:rPr>
      <w:rFonts w:asciiTheme="minorHAnsi" w:hAnsiTheme="minorHAnsi" w:cstheme="minorBidi"/>
      <w:sz w:val="22"/>
      <w:szCs w:val="22"/>
      <w:lang w:val="ru-RU"/>
    </w:rPr>
  </w:style>
  <w:style w:type="paragraph" w:styleId="Footer">
    <w:name w:val="footer"/>
    <w:basedOn w:val="Normal"/>
    <w:link w:val="FooterChar"/>
    <w:uiPriority w:val="99"/>
    <w:unhideWhenUsed/>
    <w:rsid w:val="00AD518A"/>
    <w:pPr>
      <w:tabs>
        <w:tab w:val="center" w:pos="4677"/>
        <w:tab w:val="right" w:pos="9355"/>
      </w:tabs>
      <w:spacing w:after="0" w:line="240" w:lineRule="auto"/>
    </w:pPr>
    <w:rPr>
      <w:rFonts w:eastAsiaTheme="minorHAnsi"/>
      <w:lang w:val="ru-RU" w:eastAsia="en-US"/>
    </w:rPr>
  </w:style>
  <w:style w:type="character" w:customStyle="1" w:styleId="FooterChar">
    <w:name w:val="Footer Char"/>
    <w:basedOn w:val="DefaultParagraphFont"/>
    <w:link w:val="Footer"/>
    <w:uiPriority w:val="99"/>
    <w:rsid w:val="00AD518A"/>
    <w:rPr>
      <w:rFonts w:asciiTheme="minorHAnsi" w:hAnsiTheme="minorHAnsi" w:cstheme="minorBidi"/>
      <w:sz w:val="22"/>
      <w:szCs w:val="22"/>
      <w:lang w:val="ru-RU"/>
    </w:rPr>
  </w:style>
  <w:style w:type="character" w:styleId="Hyperlink">
    <w:name w:val="Hyperlink"/>
    <w:basedOn w:val="DefaultParagraphFont"/>
    <w:uiPriority w:val="99"/>
    <w:unhideWhenUsed/>
    <w:rsid w:val="00AD51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307545">
      <w:bodyDiv w:val="1"/>
      <w:marLeft w:val="0"/>
      <w:marRight w:val="0"/>
      <w:marTop w:val="0"/>
      <w:marBottom w:val="0"/>
      <w:divBdr>
        <w:top w:val="none" w:sz="0" w:space="0" w:color="auto"/>
        <w:left w:val="none" w:sz="0" w:space="0" w:color="auto"/>
        <w:bottom w:val="none" w:sz="0" w:space="0" w:color="auto"/>
        <w:right w:val="none" w:sz="0" w:space="0" w:color="auto"/>
      </w:divBdr>
    </w:div>
    <w:div w:id="649940832">
      <w:bodyDiv w:val="1"/>
      <w:marLeft w:val="0"/>
      <w:marRight w:val="0"/>
      <w:marTop w:val="0"/>
      <w:marBottom w:val="0"/>
      <w:divBdr>
        <w:top w:val="none" w:sz="0" w:space="0" w:color="auto"/>
        <w:left w:val="none" w:sz="0" w:space="0" w:color="auto"/>
        <w:bottom w:val="none" w:sz="0" w:space="0" w:color="auto"/>
        <w:right w:val="none" w:sz="0" w:space="0" w:color="auto"/>
      </w:divBdr>
    </w:div>
    <w:div w:id="650641817">
      <w:bodyDiv w:val="1"/>
      <w:marLeft w:val="0"/>
      <w:marRight w:val="0"/>
      <w:marTop w:val="0"/>
      <w:marBottom w:val="0"/>
      <w:divBdr>
        <w:top w:val="none" w:sz="0" w:space="0" w:color="auto"/>
        <w:left w:val="none" w:sz="0" w:space="0" w:color="auto"/>
        <w:bottom w:val="none" w:sz="0" w:space="0" w:color="auto"/>
        <w:right w:val="none" w:sz="0" w:space="0" w:color="auto"/>
      </w:divBdr>
    </w:div>
    <w:div w:id="760376183">
      <w:bodyDiv w:val="1"/>
      <w:marLeft w:val="0"/>
      <w:marRight w:val="0"/>
      <w:marTop w:val="0"/>
      <w:marBottom w:val="0"/>
      <w:divBdr>
        <w:top w:val="none" w:sz="0" w:space="0" w:color="auto"/>
        <w:left w:val="none" w:sz="0" w:space="0" w:color="auto"/>
        <w:bottom w:val="none" w:sz="0" w:space="0" w:color="auto"/>
        <w:right w:val="none" w:sz="0" w:space="0" w:color="auto"/>
      </w:divBdr>
    </w:div>
    <w:div w:id="825323611">
      <w:bodyDiv w:val="1"/>
      <w:marLeft w:val="0"/>
      <w:marRight w:val="0"/>
      <w:marTop w:val="0"/>
      <w:marBottom w:val="0"/>
      <w:divBdr>
        <w:top w:val="none" w:sz="0" w:space="0" w:color="auto"/>
        <w:left w:val="none" w:sz="0" w:space="0" w:color="auto"/>
        <w:bottom w:val="none" w:sz="0" w:space="0" w:color="auto"/>
        <w:right w:val="none" w:sz="0" w:space="0" w:color="auto"/>
      </w:divBdr>
    </w:div>
    <w:div w:id="1210603947">
      <w:bodyDiv w:val="1"/>
      <w:marLeft w:val="0"/>
      <w:marRight w:val="0"/>
      <w:marTop w:val="0"/>
      <w:marBottom w:val="0"/>
      <w:divBdr>
        <w:top w:val="none" w:sz="0" w:space="0" w:color="auto"/>
        <w:left w:val="none" w:sz="0" w:space="0" w:color="auto"/>
        <w:bottom w:val="none" w:sz="0" w:space="0" w:color="auto"/>
        <w:right w:val="none" w:sz="0" w:space="0" w:color="auto"/>
      </w:divBdr>
    </w:div>
    <w:div w:id="14288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andregistry.gov.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83;&#1080;&#1089;&#1072;\Desktop\lse%20research\DATA(edited)%20with%20coding%20dura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4682852143482396E-2"/>
          <c:y val="7.45487022455526E-2"/>
          <c:w val="0.70628094791197604"/>
          <c:h val="0.70197996847409305"/>
        </c:manualLayout>
      </c:layout>
      <c:barChart>
        <c:barDir val="col"/>
        <c:grouping val="clustered"/>
        <c:varyColors val="0"/>
        <c:ser>
          <c:idx val="0"/>
          <c:order val="0"/>
          <c:tx>
            <c:strRef>
              <c:f>Sheet1!$B$1</c:f>
              <c:strCache>
                <c:ptCount val="1"/>
                <c:pt idx="0">
                  <c:v>Greater Carpenters</c:v>
                </c:pt>
              </c:strCache>
            </c:strRef>
          </c:tx>
          <c:invertIfNegative val="0"/>
          <c:cat>
            <c:strRef>
              <c:f>Sheet1!$A$2:$A$3</c:f>
              <c:strCache>
                <c:ptCount val="2"/>
                <c:pt idx="0">
                  <c:v>total CSI</c:v>
                </c:pt>
                <c:pt idx="1">
                  <c:v>total residency</c:v>
                </c:pt>
              </c:strCache>
            </c:strRef>
          </c:cat>
          <c:val>
            <c:numRef>
              <c:f>Sheet1!$B$2:$B$3</c:f>
              <c:numCache>
                <c:formatCode>General</c:formatCode>
                <c:ptCount val="2"/>
                <c:pt idx="0">
                  <c:v>457</c:v>
                </c:pt>
                <c:pt idx="1">
                  <c:v>486.41099999999977</c:v>
                </c:pt>
              </c:numCache>
            </c:numRef>
          </c:val>
        </c:ser>
        <c:ser>
          <c:idx val="1"/>
          <c:order val="1"/>
          <c:tx>
            <c:strRef>
              <c:f>Sheet1!$C$1</c:f>
              <c:strCache>
                <c:ptCount val="1"/>
                <c:pt idx="0">
                  <c:v>Leigham Court</c:v>
                </c:pt>
              </c:strCache>
            </c:strRef>
          </c:tx>
          <c:invertIfNegative val="0"/>
          <c:cat>
            <c:strRef>
              <c:f>Sheet1!$A$2:$A$3</c:f>
              <c:strCache>
                <c:ptCount val="2"/>
                <c:pt idx="0">
                  <c:v>total CSI</c:v>
                </c:pt>
                <c:pt idx="1">
                  <c:v>total residency</c:v>
                </c:pt>
              </c:strCache>
            </c:strRef>
          </c:cat>
          <c:val>
            <c:numRef>
              <c:f>Sheet1!$C$2:$C$3</c:f>
              <c:numCache>
                <c:formatCode>General</c:formatCode>
                <c:ptCount val="2"/>
                <c:pt idx="0">
                  <c:v>430</c:v>
                </c:pt>
                <c:pt idx="1">
                  <c:v>466.61300000000011</c:v>
                </c:pt>
              </c:numCache>
            </c:numRef>
          </c:val>
        </c:ser>
        <c:dLbls>
          <c:showLegendKey val="0"/>
          <c:showVal val="0"/>
          <c:showCatName val="0"/>
          <c:showSerName val="0"/>
          <c:showPercent val="0"/>
          <c:showBubbleSize val="0"/>
        </c:dLbls>
        <c:gapWidth val="150"/>
        <c:axId val="163501952"/>
        <c:axId val="169860480"/>
      </c:barChart>
      <c:catAx>
        <c:axId val="163501952"/>
        <c:scaling>
          <c:orientation val="minMax"/>
        </c:scaling>
        <c:delete val="0"/>
        <c:axPos val="b"/>
        <c:majorTickMark val="out"/>
        <c:minorTickMark val="none"/>
        <c:tickLblPos val="nextTo"/>
        <c:crossAx val="169860480"/>
        <c:crosses val="autoZero"/>
        <c:auto val="1"/>
        <c:lblAlgn val="ctr"/>
        <c:lblOffset val="100"/>
        <c:noMultiLvlLbl val="0"/>
      </c:catAx>
      <c:valAx>
        <c:axId val="169860480"/>
        <c:scaling>
          <c:orientation val="minMax"/>
        </c:scaling>
        <c:delete val="0"/>
        <c:axPos val="l"/>
        <c:majorGridlines/>
        <c:numFmt formatCode="General" sourceLinked="1"/>
        <c:majorTickMark val="out"/>
        <c:minorTickMark val="none"/>
        <c:tickLblPos val="nextTo"/>
        <c:crossAx val="163501952"/>
        <c:crosses val="autoZero"/>
        <c:crossBetween val="between"/>
      </c:valAx>
    </c:plotArea>
    <c:legend>
      <c:legendPos val="r"/>
      <c:layout>
        <c:manualLayout>
          <c:xMode val="edge"/>
          <c:yMode val="edge"/>
          <c:x val="0.79385459931564795"/>
          <c:y val="0.36864931278252"/>
          <c:w val="0.20400745737889101"/>
          <c:h val="0.128917722769609"/>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579B7536.dotm</Template>
  <TotalTime>1</TotalTime>
  <Pages>23</Pages>
  <Words>4460</Words>
  <Characters>25424</Characters>
  <Application>Microsoft Office Word</Application>
  <DocSecurity>4</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2013-07-01T08:55:00Z</dcterms:created>
  <dcterms:modified xsi:type="dcterms:W3CDTF">2013-07-01T08:55:00Z</dcterms:modified>
</cp:coreProperties>
</file>