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D83CB" w14:textId="0F5157C9" w:rsidR="007F586A" w:rsidRDefault="007F586A" w:rsidP="007F586A">
      <w:pPr>
        <w:rPr>
          <w:b/>
        </w:rPr>
      </w:pPr>
      <w:r>
        <w:rPr>
          <w:b/>
        </w:rPr>
        <w:t>TLC PODCASTS:  Further resources for e</w:t>
      </w:r>
      <w:r w:rsidRPr="003C3664">
        <w:rPr>
          <w:b/>
        </w:rPr>
        <w:t>ssay writing</w:t>
      </w:r>
      <w:r>
        <w:rPr>
          <w:b/>
        </w:rPr>
        <w:t xml:space="preserve"> - </w:t>
      </w:r>
      <w:r w:rsidRPr="003C3664">
        <w:rPr>
          <w:b/>
        </w:rPr>
        <w:t>the introduction</w:t>
      </w:r>
    </w:p>
    <w:p w14:paraId="053104DC" w14:textId="77777777" w:rsidR="00CC611D" w:rsidRPr="003C3664" w:rsidRDefault="00CC611D" w:rsidP="007F586A">
      <w:pPr>
        <w:rPr>
          <w:b/>
        </w:rPr>
      </w:pPr>
    </w:p>
    <w:p w14:paraId="6AA4A1A5" w14:textId="06A989E0" w:rsidR="00F3634C" w:rsidRDefault="00F3634C" w:rsidP="00F3634C">
      <w:pPr>
        <w:ind w:right="0"/>
        <w:jc w:val="both"/>
        <w:rPr>
          <w:szCs w:val="22"/>
        </w:rPr>
      </w:pPr>
      <w:r>
        <w:rPr>
          <w:szCs w:val="22"/>
        </w:rPr>
        <w:t xml:space="preserve">If you have any questions or concerns about writing essay introductions, support is available throughout the academic year.  As a start, you can visit your teacher during office hours to ask for advice or feedback on your draft introduction. </w:t>
      </w:r>
    </w:p>
    <w:p w14:paraId="48DA2CBA" w14:textId="77777777" w:rsidR="00F3634C" w:rsidRPr="00F85884" w:rsidRDefault="00F3634C" w:rsidP="00F3634C">
      <w:pPr>
        <w:ind w:right="0"/>
        <w:jc w:val="both"/>
        <w:rPr>
          <w:szCs w:val="22"/>
        </w:rPr>
      </w:pPr>
    </w:p>
    <w:p w14:paraId="5EC96403" w14:textId="77777777" w:rsidR="007F586A" w:rsidRPr="00E17990" w:rsidRDefault="007F586A" w:rsidP="007F586A">
      <w:pPr>
        <w:rPr>
          <w:b/>
        </w:rPr>
      </w:pPr>
      <w:r w:rsidRPr="00E17990">
        <w:rPr>
          <w:b/>
        </w:rPr>
        <w:t>TEACHING AND LEARNING CENTRE</w:t>
      </w:r>
    </w:p>
    <w:p w14:paraId="6F0EB9E1" w14:textId="77777777" w:rsidR="007F586A" w:rsidRPr="00F85884" w:rsidRDefault="007F586A" w:rsidP="007F586A">
      <w:r w:rsidRPr="00F85884">
        <w:t xml:space="preserve">The Teaching and Learning Centre runs </w:t>
      </w:r>
      <w:r>
        <w:t>several events</w:t>
      </w:r>
      <w:r w:rsidRPr="00F85884">
        <w:t xml:space="preserve"> </w:t>
      </w:r>
      <w:r>
        <w:t xml:space="preserve">and </w:t>
      </w:r>
      <w:r w:rsidRPr="00F85884">
        <w:t xml:space="preserve">workshops </w:t>
      </w:r>
      <w:r>
        <w:t xml:space="preserve">on writing </w:t>
      </w:r>
      <w:r w:rsidRPr="00F85884">
        <w:t xml:space="preserve">in </w:t>
      </w:r>
      <w:proofErr w:type="spellStart"/>
      <w:r w:rsidRPr="00F85884">
        <w:t>Michaelmas</w:t>
      </w:r>
      <w:proofErr w:type="spellEnd"/>
      <w:r w:rsidRPr="00F85884">
        <w:t xml:space="preserve"> and Lent Terms.  </w:t>
      </w:r>
      <w:r>
        <w:t>Visit www.lse.ac.uk/tlc to find out more.</w:t>
      </w:r>
    </w:p>
    <w:p w14:paraId="22FDE813" w14:textId="77777777" w:rsidR="007F586A" w:rsidRPr="00F85884" w:rsidRDefault="007F586A" w:rsidP="007F586A"/>
    <w:p w14:paraId="01BCD3A2" w14:textId="01BD0D6B" w:rsidR="007F586A" w:rsidRDefault="007F586A" w:rsidP="007F586A">
      <w:r w:rsidRPr="00F85884">
        <w:t xml:space="preserve">See </w:t>
      </w:r>
      <w:r>
        <w:t>Learning Development on Moodle</w:t>
      </w:r>
      <w:r w:rsidRPr="00F85884">
        <w:t xml:space="preserve"> for the slides and recording of </w:t>
      </w:r>
      <w:r>
        <w:t>the TLC event,</w:t>
      </w:r>
      <w:r w:rsidRPr="00E43D59">
        <w:t xml:space="preserve"> </w:t>
      </w:r>
      <w:r>
        <w:t xml:space="preserve">How to write essays at LSE: an introduction </w:t>
      </w:r>
      <w:proofErr w:type="gramStart"/>
      <w:r>
        <w:t xml:space="preserve">( </w:t>
      </w:r>
      <w:proofErr w:type="gramEnd"/>
      <w:r>
        <w:fldChar w:fldCharType="begin"/>
      </w:r>
      <w:r>
        <w:instrText xml:space="preserve"> HYPERLINK "</w:instrText>
      </w:r>
      <w:r w:rsidRPr="00E43D59">
        <w:instrText>https://moodle.lse.ac.uk/mod/page/view.php?id=282400</w:instrText>
      </w:r>
      <w:r>
        <w:instrText xml:space="preserve">" </w:instrText>
      </w:r>
      <w:r>
        <w:fldChar w:fldCharType="separate"/>
      </w:r>
      <w:r w:rsidRPr="00030836">
        <w:rPr>
          <w:rStyle w:val="Hyperlink"/>
          <w:szCs w:val="22"/>
        </w:rPr>
        <w:t>https://moodle.lse.ac.uk/mod/page/view.php?id=282400</w:t>
      </w:r>
      <w:r>
        <w:fldChar w:fldCharType="end"/>
      </w:r>
      <w:r>
        <w:t>).</w:t>
      </w:r>
    </w:p>
    <w:p w14:paraId="440FA034" w14:textId="77777777" w:rsidR="007F586A" w:rsidRPr="00E43D59" w:rsidRDefault="007F586A" w:rsidP="007F586A">
      <w:r>
        <w:t>Learning Development on Moodle is the TLC page</w:t>
      </w:r>
      <w:r w:rsidRPr="00F85884">
        <w:t xml:space="preserve"> for study skills materials.</w:t>
      </w:r>
    </w:p>
    <w:p w14:paraId="2681C722" w14:textId="77777777" w:rsidR="007F586A" w:rsidRPr="00E43D59" w:rsidRDefault="007F586A" w:rsidP="007F586A">
      <w:r w:rsidRPr="00E43D59">
        <w:t>MOODLE &gt; Teaching and Learning Centre &gt; Learning Development on Moodle &gt; Academic Writing</w:t>
      </w:r>
    </w:p>
    <w:p w14:paraId="5BC11E78" w14:textId="77777777" w:rsidR="007F586A" w:rsidRDefault="007F586A" w:rsidP="007F586A"/>
    <w:p w14:paraId="1ABAC780" w14:textId="77777777" w:rsidR="007F586A" w:rsidRDefault="007F586A" w:rsidP="007F586A">
      <w:r>
        <w:t xml:space="preserve">Royal Literary Fund Fellows, professional writers hosted at the Teaching and Learning Centre, </w:t>
      </w:r>
      <w:r w:rsidRPr="00997F68">
        <w:t>are available to help students, on a free, one to one basis, with any aspect of academic writing, from planning essay content and scope to structuring arguments and writing essays and dissertations in a clear, reader-friendly way.</w:t>
      </w:r>
      <w:r>
        <w:t xml:space="preserve">  For an appointment with a Royal Literary Fund Fellow, contact </w:t>
      </w:r>
      <w:hyperlink r:id="rId7" w:history="1">
        <w:r w:rsidRPr="00071C5B">
          <w:rPr>
            <w:rStyle w:val="Hyperlink"/>
            <w:szCs w:val="22"/>
          </w:rPr>
          <w:t>studentsupport@lse.ac.uk</w:t>
        </w:r>
      </w:hyperlink>
      <w:r>
        <w:t xml:space="preserve"> .</w:t>
      </w:r>
    </w:p>
    <w:p w14:paraId="0A842E2E" w14:textId="77777777" w:rsidR="007F586A" w:rsidRDefault="007F586A" w:rsidP="007F586A"/>
    <w:p w14:paraId="0BEC426D" w14:textId="77777777" w:rsidR="007F586A" w:rsidRPr="00F85884" w:rsidRDefault="007F586A" w:rsidP="007F586A">
      <w:r>
        <w:t xml:space="preserve">One-to-one study support is available from TLC’s qualitative study adviser.  Contact </w:t>
      </w:r>
      <w:hyperlink r:id="rId8" w:history="1">
        <w:r w:rsidRPr="00071C5B">
          <w:rPr>
            <w:rStyle w:val="Hyperlink"/>
            <w:szCs w:val="22"/>
          </w:rPr>
          <w:t>studentsupport@lse.ac.uk</w:t>
        </w:r>
      </w:hyperlink>
      <w:r>
        <w:t xml:space="preserve"> to make an appointment.</w:t>
      </w:r>
    </w:p>
    <w:p w14:paraId="24E22B73" w14:textId="77777777" w:rsidR="00F3634C" w:rsidRDefault="00F3634C" w:rsidP="00F3634C">
      <w:pPr>
        <w:ind w:right="0"/>
        <w:jc w:val="both"/>
        <w:rPr>
          <w:b/>
          <w:szCs w:val="22"/>
        </w:rPr>
      </w:pPr>
    </w:p>
    <w:p w14:paraId="13A9B153" w14:textId="77777777" w:rsidR="00F3634C" w:rsidRPr="00F85884" w:rsidRDefault="00F3634C" w:rsidP="00F3634C">
      <w:pPr>
        <w:ind w:right="0"/>
        <w:jc w:val="both"/>
        <w:rPr>
          <w:szCs w:val="22"/>
        </w:rPr>
      </w:pPr>
    </w:p>
    <w:p w14:paraId="700468C2" w14:textId="77777777" w:rsidR="00F3634C" w:rsidRPr="00F85884" w:rsidRDefault="00F3634C" w:rsidP="00F3634C">
      <w:pPr>
        <w:ind w:right="0"/>
        <w:jc w:val="both"/>
        <w:rPr>
          <w:b/>
          <w:szCs w:val="22"/>
        </w:rPr>
      </w:pPr>
      <w:r w:rsidRPr="00F85884">
        <w:rPr>
          <w:b/>
          <w:szCs w:val="22"/>
        </w:rPr>
        <w:t>BOOKS</w:t>
      </w:r>
    </w:p>
    <w:p w14:paraId="7433CFBD" w14:textId="77777777" w:rsidR="00F3634C" w:rsidRPr="00F85884" w:rsidRDefault="00F3634C" w:rsidP="00F3634C">
      <w:pPr>
        <w:ind w:right="0"/>
        <w:jc w:val="both"/>
        <w:rPr>
          <w:szCs w:val="22"/>
        </w:rPr>
      </w:pPr>
      <w:r>
        <w:rPr>
          <w:szCs w:val="22"/>
        </w:rPr>
        <w:t>There are</w:t>
      </w:r>
      <w:r w:rsidRPr="00F85884">
        <w:rPr>
          <w:szCs w:val="22"/>
        </w:rPr>
        <w:t xml:space="preserve"> many study support books </w:t>
      </w:r>
      <w:r>
        <w:rPr>
          <w:szCs w:val="22"/>
        </w:rPr>
        <w:t>available, both as e-books and physical copies</w:t>
      </w:r>
      <w:r w:rsidRPr="00F85884">
        <w:rPr>
          <w:szCs w:val="22"/>
        </w:rPr>
        <w:t xml:space="preserve">.  Use the library search page to find what you need.  A few </w:t>
      </w:r>
      <w:r>
        <w:rPr>
          <w:szCs w:val="22"/>
        </w:rPr>
        <w:t>examples of</w:t>
      </w:r>
      <w:r w:rsidRPr="00F85884">
        <w:rPr>
          <w:szCs w:val="22"/>
        </w:rPr>
        <w:t xml:space="preserve"> books on </w:t>
      </w:r>
      <w:r>
        <w:rPr>
          <w:szCs w:val="22"/>
        </w:rPr>
        <w:t>academic writing</w:t>
      </w:r>
      <w:r w:rsidRPr="00F85884">
        <w:rPr>
          <w:szCs w:val="22"/>
        </w:rPr>
        <w:t xml:space="preserve"> are</w:t>
      </w:r>
      <w:r>
        <w:rPr>
          <w:szCs w:val="22"/>
        </w:rPr>
        <w:t xml:space="preserve"> listed below.</w:t>
      </w:r>
    </w:p>
    <w:p w14:paraId="469480A2" w14:textId="77777777" w:rsidR="001B2C48" w:rsidRDefault="001B2C48" w:rsidP="001B2C48"/>
    <w:p w14:paraId="02B569D8" w14:textId="5C29C3E6" w:rsidR="00F3634C" w:rsidRPr="001B2C48" w:rsidRDefault="001B2C48" w:rsidP="001B2C48">
      <w:r>
        <w:t>Crème, P.</w:t>
      </w:r>
      <w:r w:rsidRPr="00652047">
        <w:t xml:space="preserve"> </w:t>
      </w:r>
      <w:r>
        <w:t>and Lea, M. (2008)</w:t>
      </w:r>
      <w:r w:rsidRPr="00652047">
        <w:t xml:space="preserve"> Writing at University</w:t>
      </w:r>
      <w:r>
        <w:t>: a Guide for Students.  Maidenhead: Open University Press.</w:t>
      </w:r>
    </w:p>
    <w:p w14:paraId="0C5E9D9D" w14:textId="75963F17" w:rsidR="001B2C48" w:rsidRPr="00F85884" w:rsidRDefault="00F3634C" w:rsidP="001B2C48">
      <w:pPr>
        <w:ind w:right="0"/>
        <w:jc w:val="both"/>
        <w:rPr>
          <w:szCs w:val="22"/>
        </w:rPr>
      </w:pPr>
      <w:r w:rsidRPr="00F85884">
        <w:rPr>
          <w:szCs w:val="22"/>
        </w:rPr>
        <w:t>Levin, P. (2009). Write Great Essays.  Maidenhead: Open University Press.</w:t>
      </w:r>
    </w:p>
    <w:p w14:paraId="1035FD29" w14:textId="7CBC0872" w:rsidR="00F3634C" w:rsidRDefault="001B2C48" w:rsidP="00F3634C">
      <w:pPr>
        <w:ind w:right="0"/>
        <w:jc w:val="both"/>
        <w:rPr>
          <w:szCs w:val="22"/>
        </w:rPr>
      </w:pPr>
      <w:r>
        <w:rPr>
          <w:szCs w:val="22"/>
        </w:rPr>
        <w:t>Godwin, J. (2014). Planning Your Essay. Basingstoke: Palgrave Macmillan.</w:t>
      </w:r>
    </w:p>
    <w:p w14:paraId="023DD5F8" w14:textId="77777777" w:rsidR="00F3634C" w:rsidRDefault="00F3634C" w:rsidP="00F3634C">
      <w:pPr>
        <w:ind w:right="0"/>
        <w:jc w:val="both"/>
        <w:rPr>
          <w:szCs w:val="22"/>
        </w:rPr>
      </w:pPr>
      <w:r>
        <w:rPr>
          <w:szCs w:val="22"/>
        </w:rPr>
        <w:t>Wallace, M. and Wray, A. (2011).  Critical Reading and Writing for Postgraduates.  London: Sage.</w:t>
      </w:r>
    </w:p>
    <w:p w14:paraId="22BBA82C" w14:textId="77777777" w:rsidR="00F3634C" w:rsidRDefault="00F3634C" w:rsidP="00F3634C">
      <w:pPr>
        <w:ind w:right="0"/>
        <w:jc w:val="both"/>
        <w:rPr>
          <w:szCs w:val="22"/>
        </w:rPr>
      </w:pPr>
      <w:r>
        <w:rPr>
          <w:szCs w:val="22"/>
        </w:rPr>
        <w:t>Redman, P. and Maples, W. (2011). Good Essay Writing:  a social sciences guide.  London:  Sage.</w:t>
      </w:r>
    </w:p>
    <w:p w14:paraId="44D1246B" w14:textId="1021C923" w:rsidR="001B2C48" w:rsidRDefault="001B2C48" w:rsidP="001B2C48">
      <w:r>
        <w:t xml:space="preserve">Norton, L. and Pitt, E. (2009) Writing Essays at University. </w:t>
      </w:r>
      <w:proofErr w:type="gramStart"/>
      <w:r>
        <w:t>A guide for students by students.</w:t>
      </w:r>
      <w:proofErr w:type="gramEnd"/>
      <w:r>
        <w:t xml:space="preserve">  London: London Metropolitan University</w:t>
      </w:r>
    </w:p>
    <w:p w14:paraId="05246481" w14:textId="77777777" w:rsidR="00F3634C" w:rsidRDefault="00F3634C" w:rsidP="00F3634C">
      <w:pPr>
        <w:ind w:right="0"/>
        <w:jc w:val="both"/>
      </w:pPr>
    </w:p>
    <w:p w14:paraId="60A4304B" w14:textId="77777777" w:rsidR="00DA53F4" w:rsidRDefault="00DA53F4" w:rsidP="00F3634C">
      <w:pPr>
        <w:ind w:right="0"/>
        <w:jc w:val="both"/>
      </w:pPr>
    </w:p>
    <w:p w14:paraId="4D63BCD8" w14:textId="010FB201" w:rsidR="00DA53F4" w:rsidRDefault="00DA53F4" w:rsidP="00DA53F4">
      <w:r>
        <w:t xml:space="preserve">The Royal Literary Fund offers advice on essay writing, and in particularly on </w:t>
      </w:r>
      <w:r>
        <w:rPr>
          <w:b/>
        </w:rPr>
        <w:t xml:space="preserve">introductions: what they do </w:t>
      </w:r>
      <w:r>
        <w:t xml:space="preserve">at </w:t>
      </w:r>
      <w:hyperlink r:id="rId9" w:history="1">
        <w:r w:rsidRPr="003676A4">
          <w:rPr>
            <w:rStyle w:val="Hyperlink"/>
            <w:lang w:eastAsia="ja-JP"/>
          </w:rPr>
          <w:t>www.rlf.org.uk/resources/close-encounters-of-the-word-kind/</w:t>
        </w:r>
      </w:hyperlink>
    </w:p>
    <w:p w14:paraId="15DDAA28" w14:textId="3DD86475" w:rsidR="00DA53F4" w:rsidRDefault="00DA53F4" w:rsidP="00F3634C">
      <w:pPr>
        <w:ind w:right="0"/>
        <w:jc w:val="both"/>
      </w:pPr>
      <w:r w:rsidRPr="00DA53F4">
        <w:t>http://www.rlf.org.uk/resources/introductions-what-they-do/</w:t>
      </w:r>
      <w:r w:rsidR="006813AE">
        <w:t>.</w:t>
      </w:r>
    </w:p>
    <w:p w14:paraId="35D530FA" w14:textId="77777777" w:rsidR="00F3634C" w:rsidRDefault="00F3634C" w:rsidP="00652047"/>
    <w:sectPr w:rsidR="00F3634C" w:rsidSect="00A52B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49F2E" w14:textId="77777777" w:rsidR="005B42C1" w:rsidRDefault="005B42C1" w:rsidP="005B42C1">
      <w:r>
        <w:separator/>
      </w:r>
    </w:p>
  </w:endnote>
  <w:endnote w:type="continuationSeparator" w:id="0">
    <w:p w14:paraId="29BEC3E9" w14:textId="77777777" w:rsidR="005B42C1" w:rsidRDefault="005B42C1" w:rsidP="005B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CA4E0" w14:textId="77777777" w:rsidR="006F25A0" w:rsidRDefault="006F25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6B8B9" w14:textId="6F6082FE" w:rsidR="005B42C1" w:rsidRDefault="006F25A0">
    <w:pPr>
      <w:pStyle w:val="Footer"/>
    </w:pPr>
    <w:r w:rsidRPr="005B42C1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E85F07" wp14:editId="4272B491">
              <wp:simplePos x="0" y="0"/>
              <wp:positionH relativeFrom="column">
                <wp:posOffset>2169795</wp:posOffset>
              </wp:positionH>
              <wp:positionV relativeFrom="paragraph">
                <wp:posOffset>3175</wp:posOffset>
              </wp:positionV>
              <wp:extent cx="2548255" cy="1403985"/>
              <wp:effectExtent l="0" t="0" r="4445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68CD91" w14:textId="77777777" w:rsidR="005B42C1" w:rsidRPr="00CB4092" w:rsidRDefault="005B42C1" w:rsidP="005B42C1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        #</w:t>
                          </w:r>
                          <w:proofErr w:type="spellStart"/>
                          <w:r w:rsidRPr="00CB4092"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0.85pt;margin-top:.25pt;width:2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" stroked="f">
              <v:textbox style="mso-fit-shape-to-text:t">
                <w:txbxContent>
                  <w:p w14:paraId="4D68CD91" w14:textId="77777777" w:rsidR="005B42C1" w:rsidRPr="00CB4092" w:rsidRDefault="005B42C1" w:rsidP="005B42C1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   #</w:t>
                    </w:r>
                    <w:proofErr w:type="spellStart"/>
                    <w:r w:rsidRPr="00CB4092"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5B42C1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CB555A" wp14:editId="5183E54B">
              <wp:simplePos x="0" y="0"/>
              <wp:positionH relativeFrom="column">
                <wp:posOffset>5199380</wp:posOffset>
              </wp:positionH>
              <wp:positionV relativeFrom="paragraph">
                <wp:posOffset>-55245</wp:posOffset>
              </wp:positionV>
              <wp:extent cx="1351915" cy="1403985"/>
              <wp:effectExtent l="0" t="0" r="0" b="50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136A3" w14:textId="77777777" w:rsidR="005B42C1" w:rsidRDefault="005B42C1" w:rsidP="005B42C1"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  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2015/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1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409.4pt;margin-top:-4.35pt;width:106.4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" filled="f" stroked="f">
              <v:textbox style="mso-fit-shape-to-text:t">
                <w:txbxContent>
                  <w:p w14:paraId="31F136A3" w14:textId="77777777" w:rsidR="005B42C1" w:rsidRDefault="005B42C1" w:rsidP="005B42C1"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  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2015/</w:t>
                    </w:r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1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5B42C1">
      <w:rPr>
        <w:rFonts w:ascii="Arial" w:hAnsi="Arial" w:cs="Arial"/>
        <w:noProof/>
        <w:lang w:val="en-GB" w:eastAsia="en-GB"/>
      </w:rPr>
      <w:drawing>
        <wp:inline distT="0" distB="0" distL="0" distR="0" wp14:anchorId="245C2057" wp14:editId="648E4ED2">
          <wp:extent cx="1701338" cy="448156"/>
          <wp:effectExtent l="0" t="0" r="0" b="9525"/>
          <wp:docPr id="1" name="Picture 1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71C10" w14:textId="77777777" w:rsidR="006F25A0" w:rsidRDefault="006F2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564B0" w14:textId="77777777" w:rsidR="005B42C1" w:rsidRDefault="005B42C1" w:rsidP="005B42C1">
      <w:r>
        <w:separator/>
      </w:r>
    </w:p>
  </w:footnote>
  <w:footnote w:type="continuationSeparator" w:id="0">
    <w:p w14:paraId="407CA5C2" w14:textId="77777777" w:rsidR="005B42C1" w:rsidRDefault="005B42C1" w:rsidP="005B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0B702" w14:textId="77777777" w:rsidR="006F25A0" w:rsidRDefault="006F25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FB65A" w14:textId="77777777" w:rsidR="006F25A0" w:rsidRDefault="006F25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810CE" w14:textId="77777777" w:rsidR="006F25A0" w:rsidRDefault="006F25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A0"/>
    <w:rsid w:val="001B2C48"/>
    <w:rsid w:val="00374D4A"/>
    <w:rsid w:val="004503ED"/>
    <w:rsid w:val="00571D6F"/>
    <w:rsid w:val="005B42C1"/>
    <w:rsid w:val="00641538"/>
    <w:rsid w:val="00652047"/>
    <w:rsid w:val="006813AE"/>
    <w:rsid w:val="006F25A0"/>
    <w:rsid w:val="007B5A99"/>
    <w:rsid w:val="007F586A"/>
    <w:rsid w:val="009109A0"/>
    <w:rsid w:val="00A03B2A"/>
    <w:rsid w:val="00A52BA4"/>
    <w:rsid w:val="00C151BD"/>
    <w:rsid w:val="00CC611D"/>
    <w:rsid w:val="00D605D5"/>
    <w:rsid w:val="00DA53F4"/>
    <w:rsid w:val="00E42DF8"/>
    <w:rsid w:val="00E812E7"/>
    <w:rsid w:val="00F3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0449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652047"/>
    <w:pPr>
      <w:ind w:right="720"/>
    </w:pPr>
    <w:rPr>
      <w:rFonts w:asciiTheme="majorHAnsi" w:hAnsiTheme="majorHAnsi"/>
      <w:bCs/>
      <w:sz w:val="22"/>
      <w:lang w:val="en-US"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 w:val="0"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 w:val="0"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 w:val="0"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F363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2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C1"/>
    <w:rPr>
      <w:rFonts w:asciiTheme="majorHAnsi" w:hAnsiTheme="majorHAnsi"/>
      <w:bCs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B42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C1"/>
    <w:rPr>
      <w:rFonts w:asciiTheme="majorHAnsi" w:hAnsiTheme="majorHAnsi"/>
      <w:bCs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2C1"/>
    <w:rPr>
      <w:rFonts w:ascii="Tahoma" w:hAnsi="Tahoma" w:cs="Tahoma"/>
      <w:bCs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652047"/>
    <w:pPr>
      <w:ind w:right="720"/>
    </w:pPr>
    <w:rPr>
      <w:rFonts w:asciiTheme="majorHAnsi" w:hAnsiTheme="majorHAnsi"/>
      <w:bCs/>
      <w:sz w:val="22"/>
      <w:lang w:val="en-US"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 w:val="0"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 w:val="0"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 w:val="0"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F363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2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C1"/>
    <w:rPr>
      <w:rFonts w:asciiTheme="majorHAnsi" w:hAnsiTheme="majorHAnsi"/>
      <w:bCs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B42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C1"/>
    <w:rPr>
      <w:rFonts w:asciiTheme="majorHAnsi" w:hAnsiTheme="majorHAnsi"/>
      <w:bCs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2C1"/>
    <w:rPr>
      <w:rFonts w:ascii="Tahoma" w:hAnsi="Tahoma" w:cs="Tahoma"/>
      <w:b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tsupport@lse.ac.u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tudentsupport@lse.ac.u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lf.org.uk/resources/close-encounters-of-the-word-kind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80ACA991.dotm</Template>
  <TotalTime>23</TotalTime>
  <Pages>1</Pages>
  <Words>344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14</cp:revision>
  <cp:lastPrinted>2015-11-03T18:21:00Z</cp:lastPrinted>
  <dcterms:created xsi:type="dcterms:W3CDTF">2015-08-03T14:43:00Z</dcterms:created>
  <dcterms:modified xsi:type="dcterms:W3CDTF">2015-11-04T16:51:00Z</dcterms:modified>
</cp:coreProperties>
</file>