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eg" ContentType="image/jpeg"/>
  <Default Extension="wmf" ContentType="image/x-wmf"/>
  <Default Extension="png" ContentType="image/.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3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openxmlformats.org/drawingml/2006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10/wordprocessingInk" xmlns:wps="http://schemas.microsoft.com/office/word/2010/wordprocessingShape" xmlns:w="http://schemas.openxmlformats.org/wordprocessingml/2006/main" mc:Ignorable="w14 w15 wp14">
  <w:body>
    <w:p>
      <w:pPr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Guidance on the acquisition</w:t>
      </w:r>
      <w:r>
        <w:rPr>
          <w:rFonts w:ascii="Calibri" w:hAnsi="Calibri" w:eastAsia="Calibri" w:cs="Calibri"/>
          <w:b/>
        </w:rPr>
        <w:t xml:space="preserve"> of artworks</w:t>
      </w:r>
    </w:p>
    <w:p>
      <w:pPr>
        <w:spacing/>
        <w:rPr>
          <w:rFonts w:ascii="Calibri" w:hAnsi="Calibri" w:eastAsia="Calibri" w:cs="Calibri"/>
          <w:b/>
        </w:rPr>
      </w:pP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All donations of artworks </w:t>
      </w:r>
      <w:r>
        <w:rPr>
          <w:rFonts w:ascii="Calibri" w:hAnsi="Calibri" w:eastAsia="Calibri" w:cs="Calibri"/>
        </w:rPr>
        <w:t xml:space="preserve">must be </w:t>
      </w:r>
      <w:r>
        <w:rPr>
          <w:rFonts w:ascii="Calibri" w:hAnsi="Calibri" w:eastAsia="Calibri" w:cs="Calibri"/>
        </w:rPr>
        <w:t xml:space="preserve">fully assessed to ensur</w:t>
      </w:r>
      <w:r>
        <w:rPr>
          <w:rFonts w:ascii="Calibri" w:hAnsi="Calibri" w:eastAsia="Calibri" w:cs="Calibri"/>
        </w:rPr>
        <w:t xml:space="preserve">e that </w:t>
      </w:r>
      <w:r>
        <w:rPr>
          <w:rFonts w:ascii="Calibri" w:hAnsi="Calibri" w:eastAsia="Calibri" w:cs="Calibri"/>
        </w:rPr>
        <w:t xml:space="preserve">acceptance is</w:t>
      </w:r>
      <w:r>
        <w:rPr>
          <w:rFonts w:ascii="Calibri" w:hAnsi="Calibri" w:eastAsia="Calibri" w:cs="Calibri"/>
        </w:rPr>
        <w:t xml:space="preserve"> beneficial and appropriate to the School. This paper provides guidance on the procedures </w:t>
      </w:r>
      <w:r>
        <w:rPr>
          <w:rFonts w:ascii="Calibri" w:hAnsi="Calibri" w:eastAsia="Calibri" w:cs="Calibri"/>
        </w:rPr>
        <w:t xml:space="preserve">to be followed </w:t>
      </w:r>
      <w:r>
        <w:rPr>
          <w:rFonts w:ascii="Calibri" w:hAnsi="Calibri" w:eastAsia="Calibri" w:cs="Calibri"/>
        </w:rPr>
        <w:t xml:space="preserve">in assessing </w:t>
      </w:r>
      <w:r>
        <w:rPr>
          <w:rFonts w:ascii="Calibri" w:hAnsi="Calibri" w:eastAsia="Calibri" w:cs="Calibri"/>
        </w:rPr>
        <w:t xml:space="preserve">the </w:t>
      </w:r>
      <w:r>
        <w:rPr>
          <w:rFonts w:ascii="Calibri" w:hAnsi="Calibri" w:eastAsia="Calibri" w:cs="Calibri"/>
        </w:rPr>
        <w:t xml:space="preserve">donation of an artwork.</w:t>
      </w:r>
    </w:p>
    <w:p>
      <w:pPr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All donations of artworks made to the School must be notified to the LSE Archivist. Proposals should include:</w:t>
      </w:r>
    </w:p>
    <w:p>
      <w:pPr>
        <w:spacing/>
        <w:ind w:left="360"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Information on the donor and their ownership of the artwork.</w:t>
      </w: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Description and photograph of the artwork.</w:t>
      </w: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Approximate value.</w:t>
      </w:r>
    </w:p>
    <w:p>
      <w:pPr>
        <w:pStyle w:val="ListParagraph"/>
        <w:numPr>
          <w:ilvl w:val="0"/>
          <w:numId w:val="3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Information about the artist.</w:t>
      </w:r>
    </w:p>
    <w:p>
      <w:pPr>
        <w:spacing/>
        <w:ind w:firstLine="360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Transport and installation costs should be met</w:t>
      </w:r>
      <w:r>
        <w:rPr>
          <w:rFonts w:ascii="Calibri" w:hAnsi="Calibri" w:eastAsia="Calibri" w:cs="Calibri"/>
        </w:rPr>
        <w:t xml:space="preserve"> by the donor.</w:t>
      </w:r>
    </w:p>
    <w:p>
      <w:pPr>
        <w:pStyle w:val="ListParagraph"/>
        <w:spacing/>
        <w:ind w:left="1440"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LSE Archivist will</w:t>
      </w:r>
      <w:r>
        <w:rPr>
          <w:rFonts w:ascii="Calibri" w:hAnsi="Calibri" w:eastAsia="Calibri" w:cs="Calibri"/>
        </w:rPr>
        <w:t xml:space="preserve"> liaise with LSE Advancement to</w:t>
      </w:r>
      <w:r>
        <w:rPr>
          <w:rFonts w:ascii="Calibri" w:hAnsi="Calibri" w:eastAsia="Calibri" w:cs="Calibri"/>
        </w:rPr>
        <w:t xml:space="preserve"> review the gift against the criteria for acceptance outlined</w:t>
      </w:r>
      <w:r>
        <w:rPr>
          <w:rFonts w:ascii="Calibri" w:hAnsi="Calibri" w:eastAsia="Calibri" w:cs="Calibri"/>
        </w:rPr>
        <w:t xml:space="preserve"> in the </w:t>
      </w:r>
      <w:r>
        <w:rPr>
          <w:rFonts w:ascii="Calibri" w:hAnsi="Calibri" w:eastAsia="Calibri" w:cs="Calibri"/>
          <w:i/>
        </w:rPr>
        <w:t xml:space="preserve">Acquisitions and Management of Artworks Policy</w:t>
      </w:r>
      <w:r>
        <w:rPr>
          <w:rFonts w:ascii="Calibri" w:hAnsi="Calibri" w:eastAsia="Calibri" w:cs="Calibri"/>
          <w:i/>
        </w:rPr>
        <w:t xml:space="preserve">. </w:t>
      </w:r>
      <w:r>
        <w:rPr>
          <w:rFonts w:ascii="Calibri" w:hAnsi="Calibri" w:eastAsia="Calibri" w:cs="Calibri"/>
        </w:rPr>
        <w:t xml:space="preserve">The criteria are:</w:t>
      </w:r>
    </w:p>
    <w:p>
      <w:pPr>
        <w:pStyle w:val="ListParagraph"/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Is the work compatible with the School’s</w:t>
      </w:r>
      <w:r>
        <w:rPr>
          <w:rFonts w:ascii="Calibri" w:hAnsi="Calibri" w:eastAsia="Calibri" w:cs="Calibri"/>
        </w:rPr>
        <w:t xml:space="preserve"> mission an</w:t>
      </w:r>
      <w:r>
        <w:rPr>
          <w:rFonts w:ascii="Calibri" w:hAnsi="Calibri" w:eastAsia="Calibri" w:cs="Calibri"/>
        </w:rPr>
        <w:t xml:space="preserve">d strategy or </w:t>
      </w:r>
      <w:r>
        <w:rPr>
          <w:rFonts w:ascii="Calibri" w:hAnsi="Calibri" w:eastAsia="Calibri" w:cs="Calibri"/>
        </w:rPr>
        <w:t xml:space="preserve">h</w:t>
      </w:r>
      <w:r>
        <w:rPr>
          <w:rFonts w:ascii="Calibri" w:hAnsi="Calibri" w:eastAsia="Calibri" w:cs="Calibri"/>
        </w:rPr>
        <w:t xml:space="preserve">ave a demonstrable link with the School</w:t>
      </w:r>
      <w:r>
        <w:rPr>
          <w:rFonts w:ascii="Calibri" w:hAnsi="Calibri" w:eastAsia="Calibri" w:cs="Calibri"/>
        </w:rPr>
        <w:t xml:space="preserve"> and its work.</w:t>
      </w: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Are there any attached co</w:t>
      </w:r>
      <w:bookmarkStart w:id="2" w:name="_GoBack"/>
      <w:bookmarkEnd w:id="2"/>
      <w:r>
        <w:rPr>
          <w:rFonts w:ascii="Calibri" w:hAnsi="Calibri" w:eastAsia="Calibri" w:cs="Calibri"/>
        </w:rPr>
        <w:t xml:space="preserve">nditions which might restrict academic fre</w:t>
      </w:r>
      <w:r>
        <w:rPr>
          <w:rFonts w:ascii="Calibri" w:hAnsi="Calibri" w:eastAsia="Calibri" w:cs="Calibri"/>
        </w:rPr>
        <w:t xml:space="preserve">edom or the work of the School</w:t>
      </w:r>
      <w:r>
        <w:rPr>
          <w:rFonts w:ascii="Calibri" w:hAnsi="Calibri" w:eastAsia="Calibri" w:cs="Calibri"/>
        </w:rPr>
        <w:t xml:space="preserve">?</w:t>
      </w: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Is there full documentation re ownership and provenance?</w:t>
      </w: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Is there a suitable location for display?</w:t>
      </w: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An acceptable cost/benefit analysis for acceptance.</w:t>
      </w: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An acceptable risk analysis of acceptance or rejection.</w:t>
      </w:r>
    </w:p>
    <w:p>
      <w:pPr>
        <w:pStyle w:val="ListParagraph"/>
        <w:numPr>
          <w:ilvl w:val="0"/>
          <w:numId w:val="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The LSE</w:t>
      </w:r>
      <w:r>
        <w:rPr>
          <w:rFonts w:ascii="Calibri" w:hAnsi="Calibri" w:eastAsia="Calibri" w:cs="Calibri"/>
        </w:rPr>
        <w:t xml:space="preserve"> Archivist will produce a report including the business case for acceptance or rejection. The report will be reviewed by the Finance Director and w</w:t>
      </w:r>
      <w:r>
        <w:rPr>
          <w:rFonts w:ascii="Calibri" w:hAnsi="Calibri" w:eastAsia="Calibri" w:cs="Calibri"/>
        </w:rPr>
        <w:t xml:space="preserve">here appropriate the donation will be reviewed by the </w:t>
      </w:r>
      <w:r>
        <w:rPr>
          <w:rFonts w:ascii="Calibri" w:hAnsi="Calibri" w:eastAsia="Calibri" w:cs="Calibri"/>
        </w:rPr>
        <w:t xml:space="preserve">Ethics (</w:t>
      </w:r>
      <w:r>
        <w:rPr>
          <w:rFonts w:ascii="Calibri" w:hAnsi="Calibri" w:eastAsia="Calibri" w:cs="Calibri"/>
        </w:rPr>
        <w:t xml:space="preserve">Grants and Donations) Panel and where necessary passed to the Ethics Committee</w:t>
      </w:r>
      <w:r>
        <w:rPr>
          <w:rFonts w:ascii="Calibri" w:hAnsi="Calibri" w:eastAsia="Calibri" w:cs="Calibri"/>
        </w:rPr>
        <w:t xml:space="preserve">.</w:t>
      </w:r>
    </w:p>
    <w:p>
      <w:pPr>
        <w:pStyle w:val="ListParagraph"/>
        <w:spacing/>
        <w:ind w:left="1440"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If </w:t>
      </w:r>
      <w:r>
        <w:rPr>
          <w:rFonts w:ascii="Calibri" w:hAnsi="Calibri" w:eastAsia="Calibri" w:cs="Calibri"/>
        </w:rPr>
        <w:t xml:space="preserve">the donation</w:t>
      </w:r>
      <w:r>
        <w:rPr>
          <w:rFonts w:ascii="Calibri" w:hAnsi="Calibri" w:eastAsia="Calibri" w:cs="Calibri"/>
        </w:rPr>
        <w:t xml:space="preserve"> is not accepted</w:t>
      </w:r>
      <w:r>
        <w:rPr>
          <w:rFonts w:ascii="Calibri" w:hAnsi="Calibri" w:eastAsia="Calibri" w:cs="Calibri"/>
        </w:rPr>
        <w:t xml:space="preserve"> the donor will be informed and given</w:t>
      </w:r>
      <w:r>
        <w:rPr>
          <w:rFonts w:ascii="Calibri" w:hAnsi="Calibri" w:eastAsia="Calibri" w:cs="Calibri"/>
        </w:rPr>
        <w:t xml:space="preserve"> the reasons for non-acceptance.</w:t>
      </w:r>
    </w:p>
    <w:p>
      <w:pPr>
        <w:pStyle w:val="ListParagraph"/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Where donations are accepted the</w:t>
      </w:r>
      <w:r>
        <w:rPr>
          <w:rFonts w:ascii="Calibri" w:hAnsi="Calibri" w:eastAsia="Calibri" w:cs="Calibri"/>
        </w:rPr>
        <w:t xml:space="preserve"> donor will be notified and LSE Advancement</w:t>
      </w:r>
      <w:r>
        <w:rPr>
          <w:rFonts w:ascii="Calibri" w:hAnsi="Calibri" w:eastAsia="Calibri" w:cs="Calibri"/>
        </w:rPr>
        <w:t xml:space="preserve"> will draw up a gift agreement</w:t>
      </w:r>
      <w:r>
        <w:rPr>
          <w:rFonts w:ascii="Calibri" w:hAnsi="Calibri" w:eastAsia="Calibri" w:cs="Calibri"/>
        </w:rPr>
        <w:t xml:space="preserve"> </w:t>
      </w:r>
      <w:r>
        <w:rPr>
          <w:rFonts w:ascii="Calibri" w:hAnsi="Calibri" w:eastAsia="Calibri" w:cs="Calibri"/>
        </w:rPr>
        <w:t xml:space="preserve">for signing by th</w:t>
      </w:r>
      <w:r>
        <w:rPr>
          <w:rFonts w:ascii="Calibri" w:hAnsi="Calibri" w:eastAsia="Calibri" w:cs="Calibri"/>
        </w:rPr>
        <w:t xml:space="preserve">e donor and the School Secretary.</w:t>
      </w:r>
    </w:p>
    <w:p>
      <w:pPr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The </w:t>
      </w:r>
      <w:r>
        <w:rPr>
          <w:rFonts w:ascii="Calibri" w:hAnsi="Calibri" w:eastAsia="Calibri" w:cs="Calibri"/>
        </w:rPr>
        <w:t xml:space="preserve">LSE Archivist will liaise with </w:t>
      </w:r>
      <w:r>
        <w:rPr>
          <w:rFonts w:ascii="Calibri" w:hAnsi="Calibri" w:eastAsia="Calibri" w:cs="Calibri"/>
        </w:rPr>
        <w:t xml:space="preserve">LSE Advancement,</w:t>
      </w:r>
      <w:r>
        <w:rPr>
          <w:rFonts w:ascii="Calibri" w:hAnsi="Calibri" w:eastAsia="Calibri" w:cs="Calibri"/>
        </w:rPr>
        <w:t xml:space="preserve"> </w:t>
      </w:r>
      <w:r>
        <w:rPr>
          <w:rFonts w:ascii="Calibri" w:hAnsi="Calibri" w:eastAsia="Calibri" w:cs="Calibri"/>
        </w:rPr>
        <w:t xml:space="preserve">Estates</w:t>
      </w:r>
      <w:r>
        <w:rPr>
          <w:rFonts w:ascii="Calibri" w:hAnsi="Calibri" w:eastAsia="Calibri" w:cs="Calibri"/>
        </w:rPr>
        <w:t xml:space="preserve"> and relevant departments</w:t>
      </w:r>
      <w:r>
        <w:rPr>
          <w:rFonts w:ascii="Calibri" w:hAnsi="Calibri" w:eastAsia="Calibri" w:cs="Calibri"/>
        </w:rPr>
        <w:t xml:space="preserve"> regarding</w:t>
      </w:r>
      <w:r>
        <w:rPr>
          <w:rFonts w:ascii="Calibri" w:hAnsi="Calibri" w:eastAsia="Calibri" w:cs="Calibri"/>
        </w:rPr>
        <w:t xml:space="preserve"> documenting the acquisition,</w:t>
      </w:r>
      <w:r>
        <w:rPr>
          <w:rFonts w:ascii="Calibri" w:hAnsi="Calibri" w:eastAsia="Calibri" w:cs="Calibri"/>
        </w:rPr>
        <w:t xml:space="preserve"> </w:t>
      </w:r>
      <w:r>
        <w:rPr>
          <w:rFonts w:ascii="Calibri" w:hAnsi="Calibri" w:eastAsia="Calibri" w:cs="Calibri"/>
        </w:rPr>
        <w:t xml:space="preserve">the</w:t>
      </w:r>
      <w:r>
        <w:rPr>
          <w:rFonts w:ascii="Calibri" w:hAnsi="Calibri" w:eastAsia="Calibri" w:cs="Calibri"/>
        </w:rPr>
        <w:t xml:space="preserve"> transfer of the artwork, its installation and inclusion in the </w:t>
      </w:r>
      <w:r>
        <w:rPr>
          <w:rFonts w:ascii="Calibri" w:hAnsi="Calibri" w:eastAsia="Calibri" w:cs="Calibri"/>
        </w:rPr>
        <w:t xml:space="preserve">LSE art </w:t>
      </w:r>
      <w:r>
        <w:rPr>
          <w:rFonts w:ascii="Calibri" w:hAnsi="Calibri" w:eastAsia="Calibri" w:cs="Calibri"/>
        </w:rPr>
        <w:t xml:space="preserve">inventory and insurance.</w:t>
      </w:r>
    </w:p>
    <w:p>
      <w:pPr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</w:rPr>
      </w:pPr>
      <w:r>
        <w:rPr/>
        <w:br w:type="page"/>
      </w:r>
    </w:p>
    <w:p>
      <w:p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noProof/>
        </w:rPr>
        <w:drawing>
          <wp:inline>
            <wp:extent cx="5274310" cy="7952150"/>
            <wp:effectExtent xmlns:wp="http://schemas.openxmlformats.org/drawingml/2006/wordprocessingDrawing" l="0" t="0" r="0" b="0"/>
            <wp:docPr id="1" name="Pictur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52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/>
        <w:rPr>
          <w:rFonts w:ascii="Calibri" w:hAnsi="Calibri" w:eastAsia="Calibri" w:cs="Calibri"/>
        </w:rPr>
      </w:pPr>
      <w:r>
        <w:rPr/>
        <w:br w:type="page"/>
      </w:r>
    </w:p>
    <w:p>
      <w:p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noProof/>
        </w:rPr>
        <w:drawing>
          <wp:inline>
            <wp:extent cx="5274310" cy="7697841"/>
            <wp:effectExtent xmlns:wp="http://schemas.openxmlformats.org/drawingml/2006/wordprocessingDrawing" l="0" t="0" r="0" b="0"/>
            <wp:docPr id="2" name="Picture 1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9784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w:type="default" r:id="rId3"/>
      <w:type w:val="nextPage"/>
      <w:pgSz w:w="11906" w:h="16838"/>
      <w:pgMar w:top="1440" w:right="1800" w:bottom="1440" w:left="1800" w:header="708" w:footer="708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charset w:val="2"/>
    <w:family w:val="roman"/>
    <w:pitch w:val="variable"/>
    <w:sig w:usb0="00000000" w:usb1="10000000" w:usb2="00000000" w:usb3="00000000" w:csb0="80000000" w:csb1="00000000"/>
  </w:font>
  <w:font w:name="Times New Roman">
    <w:charset w:val="0"/>
    <w:family w:val="roman"/>
    <w:pitch w:val="variable"/>
    <w:sig w:usb0="E0002AFF" w:usb1="C0007841" w:usb2="00000009" w:usb3="00000000" w:csb0="000001FF" w:csb1="00000000"/>
  </w:font>
  <w:font w:name="Courier New">
    <w:charset w:val="0"/>
    <w:family w:val="modern"/>
    <w:pitch w:val="fixed"/>
    <w:sig w:usb0="E0002A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Arial">
    <w:charset w:val="0"/>
    <w:family w:val="swiss"/>
    <w:pitch w:val="variable"/>
    <w:sig w:usb0="E0002AFF" w:usb1="C0007843" w:usb2="00000009" w:usb3="00000000" w:csb0="000001FF" w:csb1="00000000"/>
  </w:font>
  <w:font w:name="Tahoma">
    <w:charset w:val="0"/>
    <w:family w:val="swiss"/>
    <w:pitch w:val="variable"/>
    <w:sig w:usb0="E1002EFF" w:usb1="C000605B" w:usb2="00000029" w:usb3="00000000" w:csb0="000101FF" w:csb1="00000000"/>
  </w:font>
  <w:font w:name="Calibri">
    <w:charset w:val="0"/>
    <w:family w:val="swiss"/>
    <w:pitch w:val="variable"/>
    <w:sig w:usb0="E00002FF" w:usb1="4000ACFF" w:usb2="00000001" w:usb3="00000000" w:csb0="0000019F" w:csb1="00000000"/>
  </w:font>
  <w:font w:name="Cambria">
    <w:charset w:val="0"/>
    <w:family w:val="roman"/>
    <w:pitch w:val="variable"/>
    <w:sig w:usb0="E00002FF" w:usb1="400004FF" w:usb2="00000000" w:usb3="00000000" w:csb0="0000019F" w:csb1="00000000"/>
  </w:font>
</w:fonts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Header"/>
      <w:spacing/>
      <w:jc w:val="right"/>
      <w:rPr>
        <w:rFonts w:ascii="Calibri" w:hAnsi="Calibri" w:eastAsia="Calibri" w:cs="Calibri"/>
      </w:rPr>
    </w:pPr>
    <w:r>
      <w:rPr>
        <w:rFonts w:ascii="Calibri" w:hAnsi="Calibri" w:eastAsia="Calibri" w:cs="Calibri"/>
      </w:rPr>
      <w:t xml:space="preserve">Guidance on the acquisition of artworks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start w:val="1"/>
      <w:numFmt w:val="decimal"/>
      <w:suff w:val="tab"/>
      <w:lvlText w:val="%1."/>
      <w:pPr>
        <w:spacing/>
        <w:ind w:left="72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suff w:val="tab"/>
      <w:lvlText w:val="%3."/>
      <w:pPr>
        <w:spacing/>
        <w:ind w:left="2160"/>
      </w:pPr>
      <w:rPr>
        <w:rFonts w:ascii="Times New Roman" w:hAnsi="Times New Roman" w:eastAsia="Times New Roman" w:cs="Times New Roman"/>
      </w:rPr>
    </w:lvl>
    <w:lvl w:ilvl="3">
      <w:start w:val="1"/>
      <w:numFmt w:val="decimal"/>
      <w:suff w:val="tab"/>
      <w:lvlText w:val="%4."/>
      <w:pPr>
        <w:spacing/>
        <w:ind w:left="2880"/>
      </w:pPr>
      <w:rPr>
        <w:rFonts w:ascii="Times New Roman" w:hAnsi="Times New Roman" w:eastAsia="Times New Roman" w:cs="Times New Roman"/>
      </w:rPr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suff w:val="tab"/>
      <w:lvlText w:val="%6."/>
      <w:pPr>
        <w:spacing/>
        <w:ind w:left="4320"/>
      </w:pPr>
      <w:rPr>
        <w:rFonts w:ascii="Times New Roman" w:hAnsi="Times New Roman" w:eastAsia="Times New Roman" w:cs="Times New Roman"/>
      </w:rPr>
    </w:lvl>
    <w:lvl w:ilvl="6">
      <w:start w:val="1"/>
      <w:numFmt w:val="decimal"/>
      <w:suff w:val="tab"/>
      <w:lvlText w:val="%7."/>
      <w:pPr>
        <w:spacing/>
        <w:ind w:left="5040"/>
      </w:pPr>
      <w:rPr>
        <w:rFonts w:ascii="Times New Roman" w:hAnsi="Times New Roman" w:eastAsia="Times New Roman" w:cs="Times New Roman"/>
      </w:rPr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suff w:val="tab"/>
      <w:lvlText w:val="%9."/>
      <w:pPr>
        <w:spacing/>
        <w:ind w:left="6480"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144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16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288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360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432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04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576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480" w:hanging="360"/>
      </w:pPr>
      <w:rPr>
        <w:rFonts w:ascii="Wingdings" w:hAnsi="Wingdings" w:eastAsia="Wingdings" w:cs="Wingdings" w:hint="default"/>
      </w:rPr>
    </w:lvl>
  </w:abstractNum>
  <w:abstractNum w:abstractNumId="3">
    <w:lvl w:ilvl="0">
      <w:start w:val="1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lvl w:ilvl="0">
      <w:start w:val="1"/>
      <w:numFmt w:val="bullet"/>
      <w:suff w:val="tab"/>
      <w:lvlText w:val=""/>
      <w:pPr>
        <w:tabs>
          <w:tab w:val="num" w:pos="360"/>
        </w:tabs>
        <w:spacing/>
        <w:ind w:left="36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"/>
      <w:pPr>
        <w:tabs>
          <w:tab w:val="num" w:pos="1080"/>
        </w:tabs>
        <w:spacing/>
        <w:ind w:left="1080" w:hanging="360"/>
      </w:pPr>
      <w:rPr>
        <w:rFonts w:ascii="Symbol" w:hAnsi="Symbol" w:eastAsia="Symbol" w:cs="Symbol" w:hint="default"/>
      </w:rPr>
    </w:lvl>
    <w:lvl w:ilvl="2">
      <w:start w:val="1"/>
      <w:numFmt w:val="bullet"/>
      <w:suff w:val="tab"/>
      <w:lvlText w:val=""/>
      <w:pPr>
        <w:tabs>
          <w:tab w:val="num" w:pos="1800"/>
        </w:tabs>
        <w:spacing/>
        <w:ind w:left="1800" w:hanging="360"/>
      </w:pPr>
      <w:rPr>
        <w:rFonts w:ascii="Symbol" w:hAnsi="Symbol" w:eastAsia="Symbol" w:cs="Symbol" w:hint="default"/>
      </w:rPr>
    </w:lvl>
    <w:lvl w:ilvl="3">
      <w:start w:val="1"/>
      <w:numFmt w:val="bullet"/>
      <w:suff w:val="tab"/>
      <w:lvlText w:val=""/>
      <w:pPr>
        <w:tabs>
          <w:tab w:val="num" w:pos="2520"/>
        </w:tabs>
        <w:spacing/>
        <w:ind w:left="252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"/>
      <w:pPr>
        <w:tabs>
          <w:tab w:val="num" w:pos="3240"/>
        </w:tabs>
        <w:spacing/>
        <w:ind w:left="3240" w:hanging="360"/>
      </w:pPr>
      <w:rPr>
        <w:rFonts w:ascii="Symbol" w:hAnsi="Symbol" w:eastAsia="Symbol" w:cs="Symbol" w:hint="default"/>
      </w:rPr>
    </w:lvl>
    <w:lvl w:ilvl="5">
      <w:start w:val="1"/>
      <w:numFmt w:val="bullet"/>
      <w:suff w:val="tab"/>
      <w:lvlText w:val=""/>
      <w:pPr>
        <w:tabs>
          <w:tab w:val="num" w:pos="3960"/>
        </w:tabs>
        <w:spacing/>
        <w:ind w:left="3960" w:hanging="360"/>
      </w:pPr>
      <w:rPr>
        <w:rFonts w:ascii="Symbol" w:hAnsi="Symbol" w:eastAsia="Symbol" w:cs="Symbol" w:hint="default"/>
      </w:rPr>
    </w:lvl>
    <w:lvl w:ilvl="6">
      <w:start w:val="1"/>
      <w:numFmt w:val="bullet"/>
      <w:suff w:val="tab"/>
      <w:lvlText w:val=""/>
      <w:pPr>
        <w:tabs>
          <w:tab w:val="num" w:pos="4680"/>
        </w:tabs>
        <w:spacing/>
        <w:ind w:left="468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"/>
      <w:pPr>
        <w:tabs>
          <w:tab w:val="num" w:pos="5400"/>
        </w:tabs>
        <w:spacing/>
        <w:ind w:left="5400" w:hanging="360"/>
      </w:pPr>
      <w:rPr>
        <w:rFonts w:ascii="Symbol" w:hAnsi="Symbol" w:eastAsia="Symbol" w:cs="Symbol" w:hint="default"/>
      </w:rPr>
    </w:lvl>
    <w:lvl w:ilvl="8">
      <w:start w:val="1"/>
      <w:numFmt w:val="bullet"/>
      <w:suff w:val="tab"/>
      <w:lvlText w:val=""/>
      <w:pPr>
        <w:tabs>
          <w:tab w:val="num" w:pos="6120"/>
        </w:tabs>
        <w:spacing/>
        <w:ind w:left="6120" w:hanging="360"/>
      </w:pPr>
      <w:rPr>
        <w:rFonts w:ascii="Symbol" w:hAnsi="Symbol" w:eastAsia="Symbol" w:cs="Symbol" w:hint="default"/>
      </w:rPr>
    </w:lvl>
  </w:abstractNum>
  <w:abstractNum w:abstractNumId="5">
    <w:lvl w:ilvl="0">
      <w:start w:val="1"/>
      <w:numFmt w:val="decimal"/>
      <w:suff w:val="tab"/>
      <w:lvlText w:val="%1."/>
      <w:pPr>
        <w:spacing/>
        <w:ind w:left="720" w:hanging="360"/>
      </w:pPr>
      <w:rPr>
        <w:rFonts w:hint="default"/>
      </w:rPr>
    </w:lvl>
    <w:lvl w:ilvl="1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lvl w:ilvl="0">
      <w:start w:val="1"/>
      <w:numFmt w:val="decimal"/>
      <w:suff w:val="tab"/>
      <w:lvlText w:val="%1."/>
      <w:pPr>
        <w:spacing/>
        <w:ind w:left="36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08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1800" w:hanging="180"/>
      </w:pPr>
      <w:rPr/>
    </w:lvl>
    <w:lvl w:ilvl="3">
      <w:start w:val="1"/>
      <w:numFmt w:val="decimal"/>
      <w:suff w:val="tab"/>
      <w:lvlText w:val="%4."/>
      <w:pPr>
        <w:spacing/>
        <w:ind w:left="2520" w:hanging="360"/>
      </w:pPr>
      <w:rPr/>
    </w:lvl>
    <w:lvl w:ilvl="4">
      <w:start w:val="1"/>
      <w:numFmt w:val="lowerLetter"/>
      <w:suff w:val="tab"/>
      <w:lvlText w:val="%5."/>
      <w:pPr>
        <w:spacing/>
        <w:ind w:left="324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3960" w:hanging="180"/>
      </w:pPr>
      <w:rPr/>
    </w:lvl>
    <w:lvl w:ilvl="6">
      <w:start w:val="1"/>
      <w:numFmt w:val="decimal"/>
      <w:suff w:val="tab"/>
      <w:lvlText w:val="%7."/>
      <w:pPr>
        <w:spacing/>
        <w:ind w:left="4680" w:hanging="360"/>
      </w:pPr>
      <w:rPr/>
    </w:lvl>
    <w:lvl w:ilvl="7">
      <w:start w:val="1"/>
      <w:numFmt w:val="lowerLetter"/>
      <w:suff w:val="tab"/>
      <w:lvlText w:val="%8."/>
      <w:pPr>
        <w:spacing/>
        <w:ind w:left="540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120" w:hanging="180"/>
      </w:pPr>
      <w:rPr/>
    </w:lvl>
  </w:abstractNum>
  <w:abstractNum w:abstractNumId="7">
    <w:lvl w:ilvl="0">
      <w:start w:val="1"/>
      <w:numFmt w:val="decimal"/>
      <w:suff w:val="tab"/>
      <w:lvlText w:val="%1."/>
      <w:pPr>
        <w:spacing/>
        <w:ind w:left="720" w:hanging="360"/>
      </w:pPr>
      <w:rPr>
        <w:rFonts w:hint="default"/>
      </w:rPr>
    </w:lvl>
    <w:lvl w:ilvl="1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percent="100"/>
  <w:embedSystemFonts xmlns:w="http://schemas.openxmlformats.org/wordprocessingml/2006/main"/>
  <w:proofState w:spelling="clean" w:grammar="clean"/>
  <w:stylePaneFormatFilter xmlns:w="http://schemas.openxmlformats.org/wordprocessingml/2006/main"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xmlns:w="http://schemas.openxmlformats.org/wordprocessingml/2006/main"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" w:uri="http://schemas.microsoft.com/office/word" w:val="1"/>
  </w:compat>
  <w:doNotIncludeSubdocsInStats xmlns:w="http://schemas.openxmlformats.org/wordprocessingml/2006/main"/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en-GB" w:eastAsia="ar-SA"/>
      </w:rPr>
    </w:rPrDefault>
    <w:pPrDefault>
      <w:pPr>
        <w:spacing/>
      </w:pPr>
    </w:pPrDefault>
  </w:docDefaults>
  <w:latentStyles xmlns:w="http://schemas.openxmlformats.org/wordprocessingml/2006/main"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" w:default="1">
    <w:name w:val="Normal"/>
    <w:next w:val="Normal"/>
    <w:qFormat/>
    <w:pPr>
      <w:spacing/>
    </w:pPr>
    <w:rPr>
      <w:rFonts w:ascii="Arial" w:hAnsi="Arial" w:eastAsia="Arial" w:cs="Arial"/>
      <w:sz w:val="22"/>
      <w:szCs w:val="24"/>
    </w:rPr>
  </w:style>
  <w:style w:type="character" w:styleId="DefaultParagraphFont" w:default="1">
    <w:name w:val="Default Paragraph Font"/>
    <w:semiHidden/>
    <w:unhideWhenUsed/>
    <w:rPr/>
  </w:style>
  <w:style w:type="table" w:styleId="TableNormal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oList">
    <w:name w:val="No List"/>
    <w:semiHidden/>
    <w:unhideWhenUsed/>
    <w:rPr/>
  </w:style>
  <w:style w:type="paragraph" w:styleId="ListParagraph" w:customStyle="1">
    <w:name w:val="List Paragraph"/>
    <w:basedOn w:val="Normal"/>
    <w:next w:val="ListParagraph"/>
    <w:qFormat/>
    <w:pPr>
      <w:spacing/>
      <w:ind w:left="720"/>
      <w:contextualSpacing/>
    </w:pPr>
    <w:rPr/>
  </w:style>
  <w:style w:type="paragraph" w:styleId="NormalWeb">
    <w:name w:val="Normal (Web)"/>
    <w:basedOn w:val="Normal"/>
    <w:pPr>
      <w:spacing/>
    </w:pPr>
    <w:rPr>
      <w:rFonts w:ascii="Times New Roman" w:hAnsi="Times New Roman" w:eastAsia="Times New Roman" w:cs="Times New Roman"/>
      <w:sz w:val="24"/>
    </w:rPr>
  </w:style>
  <w:style w:type="paragraph" w:styleId="BalloonText">
    <w:name w:val="Balloon Text"/>
    <w:basedOn w:val="Normal"/>
    <w:link w:val="BalloonTextChar"/>
    <w:pPr>
      <w:spacing/>
    </w:pPr>
    <w:rPr>
      <w:rFonts w:ascii="Tahoma" w:hAnsi="Tahoma" w:eastAsia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Pr>
      <w:rFonts w:ascii="Tahoma" w:hAnsi="Tahoma" w:eastAsia="Tahoma" w:cs="Tahoma"/>
      <w:sz w:val="16"/>
      <w:szCs w:val="16"/>
    </w:rPr>
  </w:style>
  <w:style w:type="paragraph" w:styleId="Header">
    <w:name w:val="Header"/>
    <w:basedOn w:val="Normal"/>
    <w:next w:val="Normal"/>
    <w:link w:val="HeaderChar"/>
    <w:pPr>
      <w:tabs>
        <w:tab w:val="center" w:pos="4513"/>
        <w:tab w:val="right" w:pos="9026"/>
      </w:tabs>
      <w:spacing/>
    </w:pPr>
    <w:rPr/>
  </w:style>
  <w:style w:type="character" w:styleId="HeaderChar" w:customStyle="1">
    <w:name w:val="Header Char"/>
    <w:basedOn w:val="DefaultParagraphFont"/>
    <w:link w:val="Header"/>
    <w:rPr>
      <w:rFonts w:ascii="Arial" w:hAnsi="Arial" w:eastAsia="Arial" w:cs="Arial"/>
      <w:sz w:val="22"/>
      <w:szCs w:val="24"/>
    </w:rPr>
  </w:style>
  <w:style w:type="paragraph" w:styleId="Footer">
    <w:name w:val="Footer"/>
    <w:basedOn w:val="Normal"/>
    <w:link w:val="FooterChar"/>
    <w:pPr>
      <w:tabs>
        <w:tab w:val="center" w:pos="4513"/>
        <w:tab w:val="right" w:pos="9026"/>
      </w:tabs>
      <w:spacing/>
    </w:pPr>
    <w:rPr/>
  </w:style>
  <w:style w:type="character" w:styleId="FooterChar" w:customStyle="1">
    <w:name w:val="Footer Char"/>
    <w:basedOn w:val="DefaultParagraphFont"/>
    <w:link w:val="Footer"/>
    <w:rPr>
      <w:rFonts w:ascii="Arial" w:hAnsi="Arial" w:eastAsia="Arial" w:cs="Arial"/>
      <w:sz w:val="22"/>
      <w:szCs w:val="24"/>
    </w:rPr>
  </w:style>
</w:styles>
</file>

<file path=word/_rels/document.xml.rels>&#65279;<?xml version="1.0" encoding="utf-8" standalone="yes"?><Relationships xmlns="http://schemas.openxmlformats.org/package/2006/relationships"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numbering" Target="numbering.xml" /><Relationship Id="rId3" Type="http://schemas.openxmlformats.org/officeDocument/2006/relationships/header" Target="header3.xml" /><Relationship Id="rId7" Type="http://schemas.openxmlformats.org/officeDocument/2006/relationships/fontTable" Target="fontTable.xml" /><Relationship Id="rId1" Type="http://schemas.openxmlformats.org/officeDocument/2006/relationships/image" Target="media/image2.wmf" /><Relationship Id="rId2" Type="http://schemas.openxmlformats.org/officeDocument/2006/relationships/image" Target="media/image4.wmf" /><Relationship Id="rId8" Type="http://schemas.openxmlformats.org/officeDocument/2006/relationships/customXml" Target="../customXml/item1.xml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CF4E2-FAB0-42E3-AFA5-9F4CED369389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41DCA0D6.dotm</Template>
  <TotalTime>172</TotalTime>
  <Pages>3</Pages>
  <Words>315</Words>
  <Characters>1678</Characters>
  <Application>Microsoft Office Word</Application>
  <DocSecurity>0</DocSecurity>
  <Lines>13</Lines>
  <Paragraphs>3</Paragraphs>
  <Company>London School of Economics and Political Science</Company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Guidance on the Acquisition of Artworks</dc:title>
  <dc:creator>Jennifer Jackman</dc:creator>
  <cp:lastModifiedBy>Administrator</cp:lastModifiedBy>
  <cp:lastPrinted>2015-05-07T13:44:00Z</cp:lastPrinted>
  <cp:revision>10</cp:revision>
  <dcterms:created xsi:type="dcterms:W3CDTF">2014-04-14T16:30:00Z</dcterms:created>
  <dcterms:modified xsi:type="dcterms:W3CDTF">2015-08-13T14:52:52.09Z</dcterms:modified>
</cp:coreProperties>
</file>