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4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5" /><Relationship Type="http://schemas.openxmlformats.org/officeDocument/2006/relationships/extended-properties" Target="docProps/app.xml" Id="rId6" /><Relationship Type="http://schemas.openxmlformats.org/package/2006/relationships/metadata/core-properties" Target="docProps/core.xml" Id="rId7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  <w:rPr/>
        <w:spacing w:line="276" w:lineRule="auto"/>
      </w:pPr>
      <w:bookmarkStart w:name="_GoBack" w:id="2"/>
      <w:bookmarkEnd w:id="2"/>
      <w:r>
        <w:rPr/>
        <w:t xml:space="preserve">Appendix 1</w:t>
      </w:r>
    </w:p>
    <w:p>
      <w:pPr>
        <w:pStyle w:val="Heading1"/>
        <w:rPr/>
        <w:spacing w:line="276" w:lineRule="auto"/>
      </w:pPr>
      <w:r>
        <w:rPr/>
        <w:t xml:space="preserve">NMH Central Database Template - Master</w:t>
      </w:r>
    </w:p>
    <w:p>
      <w:pPr>
        <w:rPr>
          <w:b/>
        </w:rPr>
        <w:spacing w:after="0" w:line="240" w:lineRule="auto"/>
      </w:pPr>
    </w:p>
    <w:p>
      <w:pPr>
        <w:rPr>
          <w:b/>
        </w:rPr>
        <w:spacing w:after="0" w:line="240" w:lineRule="auto"/>
      </w:pPr>
      <w:r>
        <w:rPr>
          <w:b/>
        </w:rPr>
        <w:t xml:space="preserve">Section</w:t>
      </w:r>
      <w:r>
        <w:rPr>
          <w:b/>
        </w:rPr>
        <w:t xml:space="preserve"> 1</w:t>
      </w:r>
      <w:r>
        <w:rPr>
          <w:b/>
        </w:rPr>
        <w:t xml:space="preserve"> – </w:t>
      </w:r>
      <w:r>
        <w:rPr/>
        <w:t xml:space="preserve">The information below will be displayed on the DSA QAG website</w:t>
      </w:r>
    </w:p>
    <w:p>
      <w:pPr>
        <w:rPr>
          <w:b/>
        </w:rPr>
        <w:spacing w:after="0" w:line="240" w:lineRule="auto"/>
      </w:pPr>
    </w:p>
    <w:tbl>
      <w:tblPr>
        <w:tblLook w:val="00A0" w:firstRow="1" w:lastRow="0" w:firstColumn="1" w:lastColumn="0" w:noHBand="0" w:noVBand="0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W w:type="dxa" w:w="9288"/>
      </w:tblPr>
      <w:tblGrid>
        <w:gridCol w:w="3168"/>
        <w:gridCol w:w="6120"/>
      </w:tblGrid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Name of NMH Provider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London</w:t>
            </w:r>
            <w:r>
              <w:rPr/>
              <w:t xml:space="preserve"> </w:t>
            </w:r>
            <w:r>
              <w:rPr/>
              <w:t xml:space="preserve">School</w:t>
            </w:r>
            <w:r>
              <w:rPr/>
              <w:t xml:space="preserve"> of Economics 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Address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Houghton Street</w:t>
            </w:r>
            <w:r>
              <w:rPr/>
              <w:t xml:space="preserve"> WC2A 2AE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Contact Name(s)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Sue Haines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Telephone Number(s)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0207 955 7767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Email Address(s)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hyperlink r:id="rId1" w:history="1">
              <w:r>
                <w:rPr>
                  <w:rStyle w:val="Hyperlink"/>
                </w:rPr>
                <w:t xml:space="preserve">s.haines@lse.ac.uk</w:t>
              </w:r>
            </w:hyperlink>
            <w:r>
              <w:rPr/>
              <w:t xml:space="preserve"> 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Website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hyperlink r:id="rId2" w:history="1">
              <w:r>
                <w:rPr>
                  <w:rStyle w:val="Hyperlink"/>
                </w:rPr>
                <w:t xml:space="preserve">http://www.lse.ac.uk/home.aspx</w:t>
              </w:r>
            </w:hyperlink>
            <w:r>
              <w:rPr/>
              <w:t xml:space="preserve"> </w:t>
            </w:r>
          </w:p>
        </w:tc>
      </w:tr>
      <w:tr>
        <w:trPr/>
        <w:tc>
          <w:tcPr>
            <w:tcW w:type="dxa" w:w="3168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Rates last updated</w:t>
            </w:r>
          </w:p>
        </w:tc>
        <w:tc>
          <w:tcPr>
            <w:tcW w:type="dxa" w:w="6120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2014</w:t>
            </w:r>
          </w:p>
        </w:tc>
      </w:tr>
    </w:tbl>
    <w:p>
      <w:pPr>
        <w:rPr/>
        <w:spacing w:after="0" w:line="240" w:lineRule="auto"/>
      </w:pPr>
    </w:p>
    <w:p>
      <w:pPr>
        <w:rPr/>
        <w:spacing w:after="0" w:line="240" w:lineRule="auto"/>
      </w:pPr>
      <w:r>
        <w:rPr>
          <w:b/>
        </w:rPr>
        <w:t xml:space="preserve">HEI </w:t>
      </w:r>
      <w:r>
        <w:rPr>
          <w:b/>
        </w:rPr>
        <w:t xml:space="preserve">Only:</w:t>
      </w:r>
      <w:r>
        <w:rPr/>
        <w:t xml:space="preserve">If</w:t>
      </w:r>
      <w:r>
        <w:rPr/>
        <w:t xml:space="preserve"> your institution has a single NMH quote for a designated supplier(s) authorised/agreed by SFE, please complete the details below.</w:t>
      </w:r>
    </w:p>
    <w:p>
      <w:pPr>
        <w:rPr/>
        <w:spacing w:after="0" w:line="240" w:lineRule="auto"/>
      </w:pPr>
    </w:p>
    <w:tbl>
      <w:tblPr>
        <w:tblLook w:val="00A0" w:firstRow="1" w:lastRow="0" w:firstColumn="1" w:lastColumn="0" w:noHBand="0" w:noVBand="0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W w:w="0" w:type="auto"/>
      </w:tblPr>
      <w:tblGrid>
        <w:gridCol w:w="4621"/>
        <w:gridCol w:w="4621"/>
      </w:tblGrid>
      <w:tr>
        <w:trPr/>
        <w:tc>
          <w:tcPr>
            <w:tcW w:type="dxa" w:w="4621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NMH Provider (s)</w:t>
            </w:r>
          </w:p>
        </w:tc>
        <w:tc>
          <w:tcPr>
            <w:tcW w:type="dxa" w:w="4621"/>
            <w:tcBorders/>
          </w:tcPr>
          <w:p>
            <w:pPr>
              <w:rPr/>
              <w:spacing w:after="0" w:line="240" w:lineRule="auto"/>
            </w:pPr>
          </w:p>
        </w:tc>
      </w:tr>
      <w:tr>
        <w:trPr/>
        <w:tc>
          <w:tcPr>
            <w:tcW w:type="dxa" w:w="4621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Authorised by SFE Contact Name</w:t>
            </w:r>
          </w:p>
        </w:tc>
        <w:tc>
          <w:tcPr>
            <w:tcW w:type="dxa" w:w="4621"/>
            <w:tcBorders/>
          </w:tcPr>
          <w:p>
            <w:pPr>
              <w:rPr/>
              <w:spacing w:after="0" w:line="240" w:lineRule="auto"/>
            </w:pPr>
          </w:p>
        </w:tc>
      </w:tr>
      <w:tr>
        <w:trPr/>
        <w:tc>
          <w:tcPr>
            <w:tcW w:type="dxa" w:w="4621"/>
            <w:tcBorders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Date of SFE Authorisation</w:t>
            </w:r>
          </w:p>
        </w:tc>
        <w:tc>
          <w:tcPr>
            <w:tcW w:type="dxa" w:w="4621"/>
            <w:tcBorders/>
          </w:tcPr>
          <w:p>
            <w:pPr>
              <w:rPr/>
              <w:spacing w:after="0" w:line="240" w:lineRule="auto"/>
            </w:pPr>
          </w:p>
        </w:tc>
      </w:tr>
    </w:tbl>
    <w:p>
      <w:pPr>
        <w:rPr>
          <w:b/>
        </w:rPr>
        <w:spacing w:after="0" w:line="240" w:lineRule="auto"/>
      </w:pPr>
    </w:p>
    <w:p>
      <w:pPr>
        <w:rPr>
          <w:b/>
        </w:rPr>
        <w:spacing w:after="0" w:line="240" w:lineRule="auto"/>
      </w:pPr>
      <w:r>
        <w:rPr>
          <w:b/>
        </w:rPr>
        <w:t xml:space="preserve">Section 2</w:t>
      </w:r>
      <w:r>
        <w:rPr>
          <w:b/>
        </w:rPr>
        <w:t xml:space="preserve"> – </w:t>
      </w:r>
      <w:r>
        <w:rPr/>
        <w:t xml:space="preserve">Below is the standard NMH service and rates table to be displayed by NMH providers.</w:t>
      </w:r>
    </w:p>
    <w:p>
      <w:pPr>
        <w:rPr>
          <w:b/>
        </w:rPr>
        <w:spacing w:after="0" w:line="240" w:lineRule="auto"/>
      </w:pPr>
    </w:p>
    <w:p>
      <w:pPr>
        <w:rPr/>
        <w:spacing w:line="276" w:lineRule="auto"/>
      </w:pPr>
      <w:r>
        <w:rPr>
          <w:b/>
        </w:rPr>
        <w:t xml:space="preserve">Note:</w:t>
      </w:r>
      <w:r>
        <w:rPr/>
        <w:t xml:space="preserve"> Please enter the NMH Support Rates </w:t>
      </w:r>
      <w:r>
        <w:rPr>
          <w:b/>
        </w:rPr>
        <w:t xml:space="preserve">per hour</w:t>
      </w:r>
      <w:r>
        <w:rPr/>
        <w:t xml:space="preserve"> in the table below.</w:t>
      </w:r>
    </w:p>
    <w:tbl>
      <w:tblPr>
        <w:tblLook w:val="00A0" w:firstRow="1" w:lastRow="0" w:firstColumn="1" w:lastColumn="0" w:noHBand="0" w:noVBand="0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Layout w:type="fixed"/>
        <w:tblW w:type="dxa" w:w="10349"/>
      </w:tblPr>
      <w:tblGrid>
        <w:gridCol w:w="4679"/>
        <w:gridCol w:w="1842"/>
        <w:gridCol w:w="1276"/>
        <w:gridCol w:w="1276"/>
        <w:gridCol w:w="1276"/>
      </w:tblGrid>
      <w:tr>
        <w:trPr/>
        <w:tc>
          <w:tcPr>
            <w:tcW w:type="dxa" w:w="4679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Band 1 Support Assistants</w:t>
            </w:r>
          </w:p>
        </w:tc>
        <w:tc>
          <w:tcPr>
            <w:tcW w:type="dxa" w:w="1842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Note contracted NMH provider</w:t>
            </w: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Net</w:t>
            </w: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VAT</w:t>
            </w: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Total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Practical Support Assistant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Library Support Assistant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Reader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Scribe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Workshop / Laboratory Assistant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Sighted Guide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Proof Reader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£18.00</w:t>
            </w:r>
          </w:p>
        </w:tc>
      </w:tr>
      <w:tr>
        <w:trPr/>
        <w:tc>
          <w:tcPr>
            <w:tcW w:type="dxa" w:w="4679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Band 2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Enhanced Support Assistants</w:t>
            </w:r>
          </w:p>
        </w:tc>
        <w:tc>
          <w:tcPr>
            <w:tcW w:type="dxa" w:w="1842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Study Assistant 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Examination Support Worker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Manual Note Taker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£20.00</w:t>
            </w:r>
          </w:p>
        </w:tc>
      </w:tr>
      <w:tr>
        <w:trPr/>
        <w:tc>
          <w:tcPr>
            <w:tcW w:type="dxa" w:w="4679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Band 3 Specialist Enabling Support</w:t>
            </w:r>
          </w:p>
        </w:tc>
        <w:tc>
          <w:tcPr>
            <w:tcW w:type="dxa" w:w="1842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/>
              <w:spacing w:after="0" w:line="240" w:lineRule="auto"/>
            </w:pP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Communication Support Worker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Electronic Note taker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Specialist Transcription Services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Mobility Trainer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£42.00</w:t>
            </w:r>
          </w:p>
        </w:tc>
      </w:tr>
      <w:tr>
        <w:trPr/>
        <w:tc>
          <w:tcPr>
            <w:tcW w:type="dxa" w:w="4679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  <w:r>
              <w:rPr>
                <w:b/>
              </w:rPr>
              <w:t xml:space="preserve">Band 4 Specialist Access and Learning Facilitators</w:t>
            </w:r>
          </w:p>
        </w:tc>
        <w:tc>
          <w:tcPr>
            <w:tcW w:type="dxa" w:w="1842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  <w:tc>
          <w:tcPr>
            <w:tcW w:type="dxa" w:w="1276"/>
            <w:tcBorders/>
            <w:shd w:fill="C6D9F1" w:color="auto" w:val="clear"/>
          </w:tcPr>
          <w:p>
            <w:pPr>
              <w:rPr>
                <w:b/>
              </w:rPr>
              <w:spacing w:after="0" w:line="240" w:lineRule="auto"/>
            </w:pP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Specialist </w:t>
            </w:r>
            <w:r>
              <w:rPr/>
              <w:t xml:space="preserve">Mentor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Specialist One to One Study Skills Support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BSL Interpreter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</w:tr>
      <w:tr>
        <w:trPr/>
        <w:tc>
          <w:tcPr>
            <w:tcW w:type="dxa" w:w="4679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Language Support Tutor for deaf students</w:t>
            </w:r>
          </w:p>
        </w:tc>
        <w:tc>
          <w:tcPr>
            <w:tcW w:type="dxa" w:w="1842"/>
            <w:tcBorders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N/A</w:t>
            </w:r>
          </w:p>
        </w:tc>
        <w:tc>
          <w:tcPr>
            <w:tcW w:type="dxa" w:w="1276"/>
            <w:tcBorders/>
          </w:tcPr>
          <w:p>
            <w:pPr>
              <w:rPr/>
              <w:spacing w:after="0" w:line="240" w:lineRule="auto"/>
            </w:pPr>
            <w:r>
              <w:rPr/>
              <w:t xml:space="preserve">£65.00</w:t>
            </w:r>
          </w:p>
        </w:tc>
      </w:tr>
      <w:tr>
        <w:trPr/>
        <w:tc>
          <w:tcPr>
            <w:tcW w:type="dxa" w:w="4679"/>
            <w:tcBorders/>
            <w:shd w:fill="BFBFBF" w:color="auto" w:val="clear"/>
          </w:tcPr>
          <w:p>
            <w:pPr>
              <w:rPr/>
              <w:spacing w:after="0" w:line="240" w:lineRule="auto"/>
            </w:pPr>
            <w:r>
              <w:rPr/>
              <w:t xml:space="preserve">Assistive Technology Trainer</w:t>
            </w:r>
          </w:p>
        </w:tc>
        <w:tc>
          <w:tcPr>
            <w:tcW w:type="dxa" w:w="1842"/>
            <w:tcBorders/>
            <w:shd w:fill="BFBFBF" w:color="auto" w:val="clear"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  <w:shd w:fill="BFBFBF" w:color="auto" w:val="clear"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  <w:shd w:fill="BFBFBF" w:color="auto" w:val="clear"/>
          </w:tcPr>
          <w:p>
            <w:pPr>
              <w:rPr/>
              <w:spacing w:after="0" w:line="240" w:lineRule="auto"/>
            </w:pPr>
          </w:p>
        </w:tc>
        <w:tc>
          <w:tcPr>
            <w:tcW w:type="dxa" w:w="1276"/>
            <w:tcBorders/>
            <w:shd w:fill="BFBFBF" w:color="auto" w:val="clear"/>
          </w:tcPr>
          <w:p>
            <w:pPr>
              <w:rPr/>
              <w:spacing w:after="0" w:line="240" w:lineRule="auto"/>
            </w:pPr>
          </w:p>
        </w:tc>
      </w:tr>
    </w:tbl>
    <w:p>
      <w:pPr>
        <w:rPr>
          <w:b/>
        </w:rPr>
        <w:spacing w:line="276" w:lineRule="auto"/>
      </w:pPr>
      <w:r>
        <w:rPr>
          <w:b/>
        </w:rPr>
        <w:t xml:space="preserve">*</w:t>
      </w:r>
      <w:r>
        <w:rPr>
          <w:b/>
        </w:rPr>
        <w:t xml:space="preserve">Please grey out any service that is not offered</w:t>
      </w:r>
      <w:r>
        <w:rPr>
          <w:b/>
        </w:rPr>
        <w:t xml:space="preserve"> by your organisation.</w:t>
      </w:r>
    </w:p>
    <w:p>
      <w:pPr>
        <w:rPr/>
        <w:spacing w:line="276" w:lineRule="auto"/>
      </w:pPr>
      <w:r>
        <w:rPr/>
        <w:t xml:space="preserve">For more information on the above bandings, please click on the below link:</w:t>
      </w:r>
    </w:p>
    <w:p>
      <w:pPr>
        <w:rPr>
          <w:b/>
        </w:rPr>
        <w:spacing w:line="276" w:lineRule="auto"/>
      </w:pPr>
      <w:hyperlink r:id="rId3" w:history="1">
        <w:r>
          <w:rPr>
            <w:rStyle w:val="Hyperlink"/>
          </w:rPr>
          <w:t xml:space="preserve">http://www.practitioners.slc.co.uk/media/705785/non_medical_help_manual_v6.pdf</w:t>
        </w:r>
      </w:hyperlink>
    </w:p>
    <w:sectPr>
      <w:type w:val="nextPage"/>
      <w:pgSz w:w="11906" w:h="16838"/>
      <w:pgMar w:top="1440" w:right="1440" w:bottom="1440" w:left="1440" w:footer="708" w:header="708" w:gutter="0"/>
      <w:pgBorders/>
      <w:docGrid w:linePitch="360"/>
      <w:pgNumType w:fmt="decimal"/>
      <w:footerReference w:type="default" r:id="rId4"/>
      <w:cols w:num="1" w:equalWidth="1" w:space="708"/>
    </w:sectPr>
  </w:body>
</w:document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Footer"/>
      <w:rPr/>
      <w:spacing w:line="240" w:lineRule="auto"/>
    </w:pPr>
    <w:r>
      <w:rPr/>
      <w:t xml:space="preserve">NMH Template v2.0</w:t>
    </w:r>
  </w:p>
  <w:p>
    <w:pPr>
      <w:pStyle w:val="Footer"/>
      <w:rPr/>
      <w:spacing w:line="240" w:lineRule="auto"/>
    </w:pPr>
  </w:p>
</w: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2"/>
      <w:numFmt w:val="bullet"/>
      <w:lvlText w:val="-"/>
      <w:suff w:val="tab"/>
      <w:pPr>
        <w:ind w:left="408" w:firstLine="-360"/>
        <w:spacing/>
      </w:pPr>
      <w:rPr>
        <w:rFonts w:ascii="Calibri" w:hAnsi="Calibri" w:eastAsia="Times New Roman" w:cs="Calibri"/>
      </w:rPr>
    </w:lvl>
    <w:lvl w:ilvl="1">
      <w:start w:val="1"/>
      <w:numFmt w:val="bullet"/>
      <w:lvlText w:val="o"/>
      <w:suff w:val="tab"/>
      <w:pPr>
        <w:ind w:left="1128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1848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568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288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008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4728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448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168" w:firstLine="-36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2"/>
        <w:szCs w:val="22"/>
        <w:rFonts w:ascii="Calibri" w:hAnsi="Calibri" w:eastAsia="Calibri" w:cs="Calibri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paragraph" w:styleId="Heading1">
    <w:name w:val="Heading 1"/>
    <w:qFormat/>
    <w:basedOn w:val="Normal"/>
    <w:link w:val="Heading1Char"/>
    <w:pPr>
      <w:keepLines/>
      <w:outlineLvl w:val="0"/>
      <w:keepNext/>
      <w:spacing w:before="480" w:after="0"/>
    </w:pPr>
    <w:rPr>
      <w:sz w:val="28"/>
      <w:szCs w:val="28"/>
      <w:rFonts w:ascii="Cambria" w:hAnsi="Cambria" w:eastAsia="Times New Roman" w:cs="Cambria"/>
      <w:b/>
      <w:bCs/>
      <w:color w:val="365F91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="1" w:styleId="Heading1Char">
    <w:name w:val="Heading 1 Char"/>
    <w:basedOn w:val="DefaultParagraphFont"/>
    <w:link w:val="Heading1"/>
    <w:rPr>
      <w:sz w:val="28"/>
      <w:szCs w:val="28"/>
      <w:rFonts w:ascii="Cambria" w:hAnsi="Cambria" w:eastAsia="Cambria" w:cs="Cambria"/>
      <w:b/>
      <w:bCs/>
      <w:color w:val="365F91"/>
    </w:rPr>
  </w:style>
  <w:style w:type="table" w:styleId="TableGrid">
    <w:name w:val="Table Grid"/>
    <w:basedOn w:val="TableNormal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pos="4513" w:val="center"/>
        <w:tab w:pos="9026" w:val="right"/>
      </w:tabs>
      <w:spacing w:after="0" w:line="240" w:lineRule="auto"/>
    </w:pPr>
    <w:rPr/>
  </w:style>
  <w:style w:type="character" w:custom="1" w:styleId="HeaderChar">
    <w:name w:val="Header Char"/>
    <w:basedOn w:val="DefaultParagraphFont"/>
    <w:link w:val="Header"/>
    <w:rPr/>
  </w:style>
  <w:style w:type="paragraph" w:styleId="Footer">
    <w:name w:val="Footer"/>
    <w:basedOn w:val="Normal"/>
    <w:link w:val="FooterChar"/>
    <w:pPr>
      <w:tabs>
        <w:tab w:pos="4513" w:val="center"/>
        <w:tab w:pos="9026" w:val="right"/>
      </w:tabs>
      <w:spacing w:after="0" w:line="240" w:lineRule="auto"/>
    </w:pPr>
    <w:rPr/>
  </w:style>
  <w:style w:type="character" w:custom="1" w:styleId="FooterChar">
    <w:name w:val="Footer Char"/>
    <w:basedOn w:val="DefaultParagraphFont"/>
    <w:link w:val="Footer"/>
    <w:rPr/>
  </w:style>
  <w:style w:type="character" w:styleId="Hyperlink">
    <w:name w:val="Hyperlink"/>
    <w:basedOn w:val="DefaultParagraphFont"/>
    <w:semiHidden/>
    <w:rPr>
      <w:u w:val="single"/>
      <w:color w:val="0000FF"/>
    </w:rPr>
  </w:style>
  <w:style w:type="paragraph" w:custom="1" w:styleId="ListParagraph">
    <w:name w:val="List Paragraph"/>
    <w:qFormat/>
    <w:basedOn w:val="Normal"/>
    <w:pPr>
      <w:ind w:left="720"/>
      <w:contextualSpacing/>
      <w:spacing/>
    </w:pPr>
    <w:rPr/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sz w:val="16"/>
      <w:szCs w:val="16"/>
      <w:rFonts w:ascii="Tahoma" w:hAnsi="Tahoma" w:eastAsia="Tahoma" w:cs="Tahoma"/>
    </w:rPr>
  </w:style>
  <w:style w:type="character" w:custom="1" w:styleId="BalloonTextChar">
    <w:name w:val="Balloon Text Char"/>
    <w:basedOn w:val="DefaultParagraphFont"/>
    <w:link w:val="BalloonText"/>
    <w:semiHidden/>
    <w:rPr>
      <w:sz w:val="16"/>
      <w:szCs w:val="16"/>
      <w:rFonts w:ascii="Tahoma" w:hAnsi="Tahoma" w:eastAsia="Tahoma" w:cs="Tahoma"/>
      <w:lang w:eastAsia="en-US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settings" Target="settings.xml" Id="rId9" /><Relationship Type="http://schemas.openxmlformats.org/officeDocument/2006/relationships/numbering" Target="numbering.xml" Id="rId10" /><Relationship Type="http://schemas.openxmlformats.org/officeDocument/2006/relationships/hyperlink" Target="mailto:s.haines@lse.ac.uk" Id="rId1" TargetMode="External" /><Relationship Type="http://schemas.openxmlformats.org/officeDocument/2006/relationships/hyperlink" Target="http://www.lse.ac.uk/home.aspx" Id="rId2" TargetMode="External" /><Relationship Type="http://schemas.openxmlformats.org/officeDocument/2006/relationships/hyperlink" Target="http://www.practitioners.slc.co.uk/media/705785/non_medical_help_manual_v6.pdf" Id="rId3" TargetMode="External" /><Relationship Type="http://schemas.openxmlformats.org/officeDocument/2006/relationships/footer" Target="footer4.xml" Id="rId4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1A16602.dotm</Template>
  <TotalTime>3</TotalTime>
  <Pages>2</Pages>
  <Words>326</Words>
  <Characters>1863</Characters>
  <Application>Microsoft Office Word</Application>
  <DocSecurity>0</DocSecurity>
  <Lines>15</Lines>
  <Paragraphs>4</Paragraphs>
  <Company>Microsoft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Non-medical-Helper-rates-of-pay</dc:title>
  <dc:creator>Sheila Blankfield</dc:creator>
  <cp:lastModifiedBy>Administrator</cp:lastModifiedBy>
  <cp:revision>2</cp:revision>
  <dcterms:created xsi:type="dcterms:W3CDTF">2014-11-26T13:26:00Z</dcterms:created>
  <dcterms:modified xsi:type="dcterms:W3CDTF">2014-11-26T13:28:14.877Z</dcterms:modified>
</cp:coreProperties>
</file>