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Default Extension="wmf" ContentType="image/x-wmf"/>
  <Default Extension="gif" ContentType="image/gif"/>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Types>
</file>

<file path=_rels/.rels>&#65279;<?xml version="1.0" encoding="UTF-8" standalone="yes"?><Relationships xmlns="http://schemas.openxmlformats.org/package/2006/relationships"><Relationship Type="http://schemas.openxmlformats.org/officeDocument/2006/relationships/officeDocument" Target="word/document.xml" Id="rId4" /><Relationship Type="http://schemas.openxmlformats.org/officeDocument/2006/relationships/extended-properties" Target="docProps/app.xml" Id="rId5" /><Relationship Type="http://schemas.openxmlformats.org/package/2006/relationships/metadata/core-properties" Target="docProps/core.xml" Id="rId6" /></Relationships>
</file>

<file path=word/document.xml><?xml version="1.0" encoding="utf-8"?>
<w:document xmlns:w="http://schemas.openxmlformats.org/wordprocessingml/2006/main"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w:body>
    <w:p>
      <w:pPr>
        <w:pStyle w:val="Default"/>
        <w:rPr>
          <w:rFonts w:ascii="Arial" w:hAnsi="Arial" w:eastAsia="Arial" w:cs="Arial"/>
        </w:rPr>
        <w:jc w:val="right"/>
        <w:spacing/>
      </w:pPr>
      <w:r>
        <w:rPr>
          <w:noProof/>
        </w:rPr>
        <w:drawing>
          <wp:inline>
            <wp:extent cx="533400" cy="533400"/>
            <wp:docPr id="1" name=""/>
            <a:graphic>
              <a:graphicData uri="http://schemas.openxmlformats.org/drawingml/2006/picture">
                <pic:pic>
                  <pic:nvPicPr>
                    <pic:cNvPr id="0" name="" descr=""/>
                    <pic:cNvPicPr>
                      <a:picLocks noChangeAspect="1" noChangeArrowheads="1"/>
                    </pic:cNvPicPr>
                  </pic:nvPicPr>
                  <pic:blipFill>
                    <a:blip r:embed="rId1"/>
                    <a:stretch>
                      <a:fillRect/>
                    </a:stretch>
                  </pic:blipFill>
                  <pic:spPr bwMode="auto">
                    <a:xfrm>
                      <a:off x="0" y="0"/>
                      <a:ext cx="533400" cy="533400"/>
                    </a:xfrm>
                    <a:prstGeom prst="rect">
                      <a:avLst/>
                    </a:prstGeom>
                  </pic:spPr>
                </pic:pic>
              </a:graphicData>
            </a:graphic>
          </wp:inline>
        </w:drawing>
      </w:r>
    </w:p>
    <w:p>
      <w:pPr>
        <w:pStyle w:val="Default"/>
        <w:rPr>
          <w:rFonts w:ascii="Arial" w:hAnsi="Arial" w:eastAsia="Arial" w:cs="Arial"/>
        </w:rPr>
        <w:jc w:val="right"/>
        <w:spacing/>
      </w:pPr>
    </w:p>
    <w:p>
      <w:pPr>
        <w:pStyle w:val="Default"/>
        <w:rPr>
          <w:rFonts w:ascii="Arial" w:hAnsi="Arial" w:eastAsia="Arial" w:cs="Arial"/>
        </w:rPr>
        <w:jc w:val="right"/>
        <w:spacing/>
      </w:pPr>
    </w:p>
    <w:p>
      <w:pPr>
        <w:rPr>
          <w:sz w:val="28"/>
          <w:szCs w:val="28"/>
          <w:rFonts w:ascii="Arial" w:hAnsi="Arial" w:eastAsia="Arial" w:cs="Arial"/>
          <w:b/>
        </w:rPr>
        <w:jc w:val="center"/>
        <w:spacing/>
      </w:pPr>
      <w:bookmarkStart w:name="_GoBack" w:id="2"/>
      <w:bookmarkEnd w:id="2"/>
      <w:r>
        <w:rPr>
          <w:sz w:val="28"/>
          <w:szCs w:val="28"/>
          <w:rFonts w:ascii="Arial" w:hAnsi="Arial" w:eastAsia="Arial" w:cs="Arial"/>
          <w:b/>
          <w:caps/>
        </w:rPr>
        <w:t xml:space="preserve">ESRC DTC </w:t>
      </w:r>
      <w:r>
        <w:rPr>
          <w:sz w:val="28"/>
          <w:szCs w:val="28"/>
          <w:rFonts w:ascii="Arial" w:hAnsi="Arial" w:eastAsia="Arial" w:cs="Arial"/>
          <w:b/>
          <w:caps/>
        </w:rPr>
        <w:t xml:space="preserve">PhD </w:t>
      </w:r>
      <w:r>
        <w:rPr>
          <w:sz w:val="28"/>
          <w:szCs w:val="28"/>
          <w:rFonts w:ascii="Arial" w:hAnsi="Arial" w:eastAsia="Arial" w:cs="Arial"/>
          <w:b/>
          <w:caps/>
        </w:rPr>
        <w:t xml:space="preserve">PARTNERSHIP EXCHANGE</w:t>
      </w:r>
      <w:r>
        <w:rPr>
          <w:sz w:val="28"/>
          <w:szCs w:val="28"/>
          <w:rFonts w:ascii="Arial" w:hAnsi="Arial" w:eastAsia="Arial" w:cs="Arial"/>
          <w:b/>
          <w:caps/>
        </w:rPr>
        <w:t xml:space="preserve"> Bursaries</w:t>
      </w:r>
      <w:r>
        <w:rPr>
          <w:sz w:val="28"/>
          <w:szCs w:val="28"/>
          <w:rFonts w:ascii="Arial" w:hAnsi="Arial" w:eastAsia="Arial" w:cs="Arial"/>
          <w:b/>
        </w:rPr>
        <w:t xml:space="preserve"> </w:t>
      </w:r>
      <w:r>
        <w:rPr>
          <w:sz w:val="28"/>
          <w:szCs w:val="28"/>
          <w:rFonts w:ascii="Arial" w:hAnsi="Arial" w:eastAsia="Arial" w:cs="Arial"/>
          <w:b/>
        </w:rPr>
        <w:t xml:space="preserve">2015/16 </w:t>
      </w:r>
    </w:p>
    <w:p>
      <w:pPr>
        <w:rPr>
          <w:sz w:val="28"/>
          <w:szCs w:val="28"/>
          <w:rFonts w:ascii="Arial" w:hAnsi="Arial" w:eastAsia="Arial" w:cs="Arial"/>
          <w:b/>
          <w:color w:val="FF0000"/>
        </w:rPr>
        <w:jc w:val="center"/>
        <w:spacing/>
      </w:pPr>
      <w:r>
        <w:rPr>
          <w:sz w:val="28"/>
          <w:szCs w:val="28"/>
          <w:rFonts w:ascii="Arial" w:hAnsi="Arial" w:eastAsia="Arial" w:cs="Arial"/>
          <w:b/>
          <w:color w:val="FF0000"/>
        </w:rPr>
        <w:t xml:space="preserve">PROCESS DOCUMENT</w:t>
      </w:r>
    </w:p>
    <w:p>
      <w:pPr>
        <w:pStyle w:val="Default"/>
        <w:rPr>
          <w:sz w:val="23"/>
          <w:szCs w:val="23"/>
          <w:rFonts w:ascii="Arial" w:hAnsi="Arial" w:eastAsia="Arial" w:cs="Arial"/>
          <w:b/>
          <w:bCs/>
        </w:rPr>
        <w:spacing/>
      </w:pPr>
    </w:p>
    <w:p>
      <w:pPr>
        <w:numPr>
          <w:ilvl w:val="0"/>
          <w:numId w:val="7"/>
        </w:numPr>
        <w:pStyle w:val="Default"/>
        <w:rPr>
          <w:sz w:val="23"/>
          <w:szCs w:val="23"/>
          <w:rFonts w:ascii="Arial" w:hAnsi="Arial" w:eastAsia="Arial" w:cs="Arial"/>
        </w:rPr>
        <w:jc w:val="both"/>
        <w:spacing/>
      </w:pPr>
      <w:r>
        <w:rPr>
          <w:sz w:val="23"/>
          <w:szCs w:val="23"/>
          <w:rFonts w:ascii="Arial" w:hAnsi="Arial" w:eastAsia="Arial" w:cs="Arial"/>
        </w:rPr>
        <w:t xml:space="preserve">Potential applicants should first research the opportunities available to them at the partner institution, including the potential scholar(s) with whom they would like to work.</w:t>
      </w:r>
    </w:p>
    <w:p>
      <w:pPr>
        <w:pStyle w:val="Default"/>
        <w:rPr>
          <w:sz w:val="23"/>
          <w:szCs w:val="23"/>
          <w:rFonts w:ascii="Arial" w:hAnsi="Arial" w:eastAsia="Arial" w:cs="Arial"/>
        </w:rPr>
        <w:jc w:val="both"/>
        <w:ind w:left="360"/>
        <w:spacing/>
      </w:pPr>
    </w:p>
    <w:p>
      <w:pPr>
        <w:numPr>
          <w:ilvl w:val="0"/>
          <w:numId w:val="7"/>
        </w:numPr>
        <w:pStyle w:val="Default"/>
        <w:rPr>
          <w:sz w:val="23"/>
          <w:szCs w:val="23"/>
          <w:rFonts w:ascii="Arial" w:hAnsi="Arial" w:eastAsia="Arial" w:cs="Arial"/>
        </w:rPr>
        <w:jc w:val="both"/>
        <w:spacing/>
      </w:pPr>
      <w:r>
        <w:rPr>
          <w:sz w:val="23"/>
          <w:szCs w:val="23"/>
          <w:rFonts w:ascii="Arial" w:hAnsi="Arial" w:eastAsia="Arial" w:cs="Arial"/>
        </w:rPr>
        <w:t xml:space="preserve">The students can contact Kirsty Rawlings </w:t>
      </w:r>
      <w:hyperlink r:id="rId2" w:history="1">
        <w:r>
          <w:rPr>
            <w:rStyle w:val="Hyperlink"/>
            <w:sz w:val="23"/>
            <w:szCs w:val="23"/>
            <w:rFonts w:ascii="Arial" w:hAnsi="Arial" w:eastAsia="Arial" w:cs="Arial"/>
          </w:rPr>
          <w:t xml:space="preserve">k.rawlings@lse.ac.uk</w:t>
        </w:r>
      </w:hyperlink>
      <w:r>
        <w:rPr>
          <w:sz w:val="23"/>
          <w:szCs w:val="23"/>
          <w:rFonts w:ascii="Arial" w:hAnsi="Arial" w:eastAsia="Arial" w:cs="Arial"/>
        </w:rPr>
        <w:t xml:space="preserve"> </w:t>
      </w:r>
      <w:r>
        <w:rPr>
          <w:sz w:val="23"/>
          <w:szCs w:val="23"/>
          <w:rFonts w:ascii="Arial" w:hAnsi="Arial" w:eastAsia="Arial" w:cs="Arial"/>
        </w:rPr>
        <w:t xml:space="preserve">who will then direct the student on to</w:t>
      </w:r>
      <w:r>
        <w:rPr>
          <w:sz w:val="23"/>
          <w:szCs w:val="23"/>
          <w:rFonts w:ascii="Arial" w:hAnsi="Arial" w:eastAsia="Arial" w:cs="Arial"/>
        </w:rPr>
        <w:t xml:space="preserve"> the Academic Partnerships</w:t>
      </w:r>
      <w:r>
        <w:rPr>
          <w:sz w:val="23"/>
          <w:szCs w:val="23"/>
          <w:rFonts w:ascii="Arial" w:hAnsi="Arial" w:eastAsia="Arial" w:cs="Arial"/>
        </w:rPr>
        <w:t xml:space="preserve"> Office, </w:t>
      </w:r>
      <w:r>
        <w:rPr>
          <w:sz w:val="23"/>
          <w:szCs w:val="23"/>
          <w:rFonts w:ascii="Arial" w:hAnsi="Arial" w:eastAsia="Arial" w:cs="Arial"/>
        </w:rPr>
        <w:t xml:space="preserve"> </w:t>
      </w:r>
      <w:r>
        <w:rPr>
          <w:sz w:val="23"/>
          <w:szCs w:val="23"/>
          <w:rFonts w:ascii="Arial" w:hAnsi="Arial" w:eastAsia="Arial" w:cs="Arial"/>
          <w:u w:val="single"/>
          <w:color w:val="0000CC"/>
        </w:rPr>
        <w:t xml:space="preserve">a</w:t>
      </w:r>
      <w:r>
        <w:rPr>
          <w:sz w:val="23"/>
          <w:szCs w:val="23"/>
          <w:rFonts w:ascii="Arial" w:hAnsi="Arial" w:eastAsia="Arial" w:cs="Arial"/>
          <w:u w:val="single"/>
          <w:color w:val="0000CC"/>
        </w:rPr>
        <w:t xml:space="preserve">cademic_partnerships@lse.ac.uk</w:t>
      </w:r>
    </w:p>
    <w:p>
      <w:pPr>
        <w:pStyle w:val="Default"/>
        <w:rPr>
          <w:sz w:val="23"/>
          <w:szCs w:val="23"/>
          <w:rFonts w:ascii="Arial" w:hAnsi="Arial" w:eastAsia="Arial" w:cs="Arial"/>
        </w:rPr>
        <w:jc w:val="both"/>
        <w:ind w:left="360"/>
        <w:spacing/>
      </w:pPr>
    </w:p>
    <w:p>
      <w:pPr>
        <w:numPr>
          <w:ilvl w:val="0"/>
          <w:numId w:val="7"/>
        </w:numPr>
        <w:pStyle w:val="Default"/>
        <w:rPr>
          <w:sz w:val="23"/>
          <w:szCs w:val="23"/>
          <w:rFonts w:ascii="Arial" w:hAnsi="Arial" w:eastAsia="Arial" w:cs="Arial"/>
        </w:rPr>
        <w:jc w:val="both"/>
        <w:spacing/>
      </w:pPr>
      <w:r>
        <w:rPr>
          <w:sz w:val="23"/>
          <w:szCs w:val="23"/>
          <w:rFonts w:ascii="Arial" w:hAnsi="Arial" w:eastAsia="Arial" w:cs="Arial"/>
        </w:rPr>
        <w:t xml:space="preserve">The </w:t>
      </w:r>
      <w:r>
        <w:rPr>
          <w:sz w:val="23"/>
          <w:szCs w:val="23"/>
          <w:rFonts w:ascii="Arial" w:hAnsi="Arial" w:eastAsia="Arial" w:cs="Arial"/>
        </w:rPr>
        <w:t xml:space="preserve">student then</w:t>
      </w:r>
      <w:r>
        <w:rPr>
          <w:sz w:val="23"/>
          <w:szCs w:val="23"/>
          <w:rFonts w:ascii="Arial" w:hAnsi="Arial" w:eastAsia="Arial" w:cs="Arial"/>
        </w:rPr>
        <w:t xml:space="preserve"> submit</w:t>
      </w:r>
      <w:r>
        <w:rPr>
          <w:sz w:val="23"/>
          <w:szCs w:val="23"/>
          <w:rFonts w:ascii="Arial" w:hAnsi="Arial" w:eastAsia="Arial" w:cs="Arial"/>
        </w:rPr>
        <w:t xml:space="preserve">s</w:t>
      </w:r>
      <w:r>
        <w:rPr>
          <w:sz w:val="23"/>
          <w:szCs w:val="23"/>
          <w:rFonts w:ascii="Arial" w:hAnsi="Arial" w:eastAsia="Arial" w:cs="Arial"/>
        </w:rPr>
        <w:t xml:space="preserve"> their application in the form of a dossier containing the following materials: </w:t>
      </w:r>
    </w:p>
    <w:p>
      <w:pPr>
        <w:pStyle w:val="Default"/>
        <w:rPr>
          <w:sz w:val="23"/>
          <w:szCs w:val="23"/>
          <w:rFonts w:ascii="Arial" w:hAnsi="Arial" w:eastAsia="Arial" w:cs="Arial"/>
        </w:rPr>
        <w:jc w:val="both"/>
        <w:ind w:left="720"/>
        <w:spacing/>
      </w:pPr>
    </w:p>
    <w:p>
      <w:pPr>
        <w:numPr>
          <w:ilvl w:val="1"/>
          <w:numId w:val="6"/>
        </w:numPr>
        <w:pStyle w:val="Default"/>
        <w:rPr>
          <w:sz w:val="23"/>
          <w:szCs w:val="23"/>
          <w:rFonts w:ascii="Arial" w:hAnsi="Arial" w:eastAsia="Arial" w:cs="Arial"/>
        </w:rPr>
        <w:jc w:val="both"/>
        <w:spacing/>
      </w:pPr>
      <w:r>
        <w:rPr>
          <w:sz w:val="23"/>
          <w:szCs w:val="23"/>
          <w:rFonts w:ascii="Arial" w:hAnsi="Arial" w:eastAsia="Arial" w:cs="Arial"/>
        </w:rPr>
        <w:t xml:space="preserve">The fully completed ‘ESRC DTC Key Information’ cover sheet </w:t>
      </w:r>
    </w:p>
    <w:p>
      <w:pPr>
        <w:numPr>
          <w:ilvl w:val="1"/>
          <w:numId w:val="6"/>
        </w:numPr>
        <w:pStyle w:val="Default"/>
        <w:rPr>
          <w:sz w:val="23"/>
          <w:szCs w:val="23"/>
          <w:rFonts w:ascii="Arial" w:hAnsi="Arial" w:eastAsia="Arial" w:cs="Arial"/>
        </w:rPr>
        <w:jc w:val="both"/>
        <w:spacing/>
      </w:pPr>
      <w:r>
        <w:rPr>
          <w:sz w:val="23"/>
          <w:szCs w:val="23"/>
          <w:rFonts w:ascii="Arial" w:hAnsi="Arial" w:eastAsia="Arial" w:cs="Arial"/>
        </w:rPr>
        <w:t xml:space="preserve">A one-page single-spaced statement of academic purpose explaining their progress towards completion of their research, why and when a visit to the host partnership institution would benefit them and what they intend to do there; outlining a time-table for their work during the visit; and indicating the scholar(s) with whom they hope to work. </w:t>
      </w:r>
    </w:p>
    <w:p>
      <w:pPr>
        <w:numPr>
          <w:ilvl w:val="1"/>
          <w:numId w:val="6"/>
        </w:numPr>
        <w:pStyle w:val="Default"/>
        <w:rPr>
          <w:sz w:val="23"/>
          <w:szCs w:val="23"/>
          <w:rFonts w:ascii="Arial" w:hAnsi="Arial" w:eastAsia="Arial" w:cs="Arial"/>
        </w:rPr>
        <w:jc w:val="both"/>
        <w:spacing/>
      </w:pPr>
      <w:r>
        <w:rPr>
          <w:sz w:val="23"/>
          <w:szCs w:val="23"/>
          <w:rFonts w:ascii="Arial" w:hAnsi="Arial" w:eastAsia="Arial" w:cs="Arial"/>
        </w:rPr>
        <w:t xml:space="preserve">An up-to-date curriculum vitae including the LSE student ID number, visa status, country of citizenship, place and date of birth (max 4 pages) </w:t>
      </w:r>
    </w:p>
    <w:p>
      <w:pPr>
        <w:numPr>
          <w:ilvl w:val="1"/>
          <w:numId w:val="6"/>
        </w:numPr>
        <w:pStyle w:val="Default"/>
        <w:rPr>
          <w:sz w:val="23"/>
          <w:szCs w:val="23"/>
          <w:rFonts w:ascii="Arial" w:hAnsi="Arial" w:eastAsia="Arial" w:cs="Arial"/>
        </w:rPr>
        <w:jc w:val="both"/>
        <w:spacing/>
      </w:pPr>
      <w:r>
        <w:rPr>
          <w:sz w:val="23"/>
          <w:szCs w:val="23"/>
          <w:rFonts w:ascii="Arial" w:hAnsi="Arial" w:eastAsia="Arial" w:cs="Arial"/>
        </w:rPr>
        <w:t xml:space="preserve">A short letter of support from their LSE supervisor(s) which should confirm: </w:t>
      </w:r>
    </w:p>
    <w:p>
      <w:pPr>
        <w:numPr>
          <w:ilvl w:val="2"/>
          <w:numId w:val="3"/>
        </w:numPr>
        <w:pStyle w:val="Default"/>
        <w:rPr>
          <w:sz w:val="23"/>
          <w:szCs w:val="23"/>
          <w:rFonts w:ascii="Arial" w:hAnsi="Arial" w:eastAsia="Arial" w:cs="Arial"/>
        </w:rPr>
        <w:jc w:val="both"/>
        <w:spacing w:after="19"/>
      </w:pPr>
      <w:r>
        <w:rPr>
          <w:sz w:val="23"/>
          <w:szCs w:val="23"/>
          <w:rFonts w:ascii="Arial" w:hAnsi="Arial" w:eastAsia="Arial" w:cs="Arial"/>
        </w:rPr>
        <w:t xml:space="preserve">whether and when the candidate had been successfully upgraded to full PhD status. </w:t>
      </w:r>
      <w:r>
        <w:rPr>
          <w:sz w:val="23"/>
          <w:szCs w:val="23"/>
          <w:rFonts w:ascii="Arial" w:hAnsi="Arial" w:eastAsia="Arial" w:cs="Arial"/>
          <w:b/>
        </w:rPr>
        <w:t xml:space="preserve">Please</w:t>
      </w:r>
      <w:r>
        <w:rPr>
          <w:sz w:val="23"/>
          <w:szCs w:val="23"/>
          <w:rFonts w:ascii="Arial" w:hAnsi="Arial" w:eastAsia="Arial" w:cs="Arial"/>
        </w:rPr>
        <w:t xml:space="preserve"> note: If a student is due to be considered imminently for upgrade at the time of applying, the supervisor’s letter must include a statement on the likelihood of upgrade. </w:t>
      </w:r>
    </w:p>
    <w:p>
      <w:pPr>
        <w:numPr>
          <w:ilvl w:val="2"/>
          <w:numId w:val="3"/>
        </w:numPr>
        <w:pStyle w:val="Default"/>
        <w:rPr>
          <w:sz w:val="23"/>
          <w:szCs w:val="23"/>
          <w:rFonts w:ascii="Arial" w:hAnsi="Arial" w:eastAsia="Arial" w:cs="Arial"/>
        </w:rPr>
        <w:jc w:val="both"/>
        <w:spacing/>
      </w:pPr>
      <w:r>
        <w:rPr>
          <w:sz w:val="23"/>
          <w:szCs w:val="23"/>
          <w:rFonts w:ascii="Arial" w:hAnsi="Arial" w:eastAsia="Arial" w:cs="Arial"/>
        </w:rPr>
        <w:t xml:space="preserve">whether the supervisor is willing to visit the partner institution (for up to one week) at some point during the student's proposed stay </w:t>
      </w:r>
      <w:r>
        <w:rPr>
          <w:sz w:val="23"/>
          <w:szCs w:val="23"/>
          <w:rFonts w:ascii="Arial" w:hAnsi="Arial" w:eastAsia="Arial" w:cs="Arial"/>
          <w:i/>
          <w:iCs/>
        </w:rPr>
        <w:t xml:space="preserve">(Please note: following this indication the supervisor will be provided with information by t</w:t>
      </w:r>
      <w:r>
        <w:rPr>
          <w:sz w:val="23"/>
          <w:szCs w:val="23"/>
          <w:rFonts w:ascii="Arial" w:hAnsi="Arial" w:eastAsia="Arial" w:cs="Arial"/>
          <w:i/>
          <w:iCs/>
        </w:rPr>
        <w:t xml:space="preserve">he Academic Partnerships Office</w:t>
      </w:r>
      <w:r>
        <w:rPr>
          <w:sz w:val="23"/>
          <w:szCs w:val="23"/>
          <w:rFonts w:ascii="Arial" w:hAnsi="Arial" w:eastAsia="Arial" w:cs="Arial"/>
          <w:i/>
          <w:iCs/>
        </w:rPr>
        <w:t xml:space="preserve"> on how to arrange this funded visit – this application process is for student visits only). </w:t>
      </w:r>
    </w:p>
    <w:p>
      <w:pPr>
        <w:numPr>
          <w:ilvl w:val="1"/>
          <w:numId w:val="6"/>
        </w:numPr>
        <w:pStyle w:val="Default"/>
        <w:rPr>
          <w:sz w:val="23"/>
          <w:szCs w:val="23"/>
          <w:rFonts w:ascii="Arial" w:hAnsi="Arial" w:eastAsia="Arial" w:cs="Arial"/>
        </w:rPr>
        <w:jc w:val="both"/>
        <w:spacing/>
      </w:pPr>
      <w:r>
        <w:rPr>
          <w:sz w:val="23"/>
          <w:szCs w:val="23"/>
          <w:rFonts w:ascii="Arial" w:hAnsi="Arial" w:eastAsia="Arial" w:cs="Arial"/>
        </w:rPr>
        <w:t xml:space="preserve">A copy of the most recent PhD progress report (or equivalent) from the department. </w:t>
      </w:r>
    </w:p>
    <w:p>
      <w:pPr>
        <w:pStyle w:val="ListParagraph"/>
        <w:rPr>
          <w:sz w:val="23"/>
          <w:szCs w:val="23"/>
          <w:rFonts w:ascii="Arial" w:hAnsi="Arial" w:eastAsia="Arial" w:cs="Arial"/>
        </w:rPr>
        <w:jc w:val="both"/>
        <w:spacing/>
      </w:pPr>
    </w:p>
    <w:p>
      <w:pPr>
        <w:numPr>
          <w:ilvl w:val="0"/>
          <w:numId w:val="7"/>
        </w:numPr>
        <w:pStyle w:val="Default"/>
        <w:rPr>
          <w:sz w:val="23"/>
          <w:szCs w:val="23"/>
          <w:rFonts w:ascii="Arial" w:hAnsi="Arial" w:eastAsia="Arial" w:cs="Arial"/>
        </w:rPr>
        <w:jc w:val="both"/>
        <w:spacing/>
      </w:pPr>
      <w:r>
        <w:rPr>
          <w:sz w:val="23"/>
          <w:szCs w:val="23"/>
          <w:rFonts w:ascii="Arial" w:hAnsi="Arial" w:eastAsia="Arial" w:cs="Arial"/>
        </w:rPr>
        <w:t xml:space="preserve">LSE </w:t>
      </w:r>
      <w:r>
        <w:rPr>
          <w:sz w:val="23"/>
          <w:szCs w:val="23"/>
          <w:rFonts w:ascii="Arial" w:hAnsi="Arial" w:eastAsia="Arial" w:cs="Arial"/>
        </w:rPr>
        <w:t xml:space="preserve">DTC </w:t>
      </w:r>
      <w:r>
        <w:rPr>
          <w:sz w:val="23"/>
          <w:szCs w:val="23"/>
          <w:rFonts w:ascii="Arial" w:hAnsi="Arial" w:eastAsia="Arial" w:cs="Arial"/>
        </w:rPr>
        <w:t xml:space="preserve">PhD students should submit their application dossier in electronic </w:t>
      </w:r>
      <w:r>
        <w:rPr>
          <w:sz w:val="23"/>
          <w:szCs w:val="23"/>
          <w:rFonts w:ascii="Arial" w:hAnsi="Arial" w:eastAsia="Arial" w:cs="Arial"/>
          <w:color w:val="auto"/>
        </w:rPr>
        <w:t xml:space="preserve">format as soon as possible</w:t>
      </w:r>
      <w:r>
        <w:rPr>
          <w:sz w:val="23"/>
          <w:szCs w:val="23"/>
          <w:rFonts w:ascii="Arial" w:hAnsi="Arial" w:eastAsia="Arial" w:cs="Arial"/>
          <w:color w:val="auto"/>
        </w:rPr>
        <w:t xml:space="preserve">. </w:t>
      </w:r>
      <w:r>
        <w:rPr>
          <w:sz w:val="23"/>
          <w:szCs w:val="23"/>
          <w:rFonts w:ascii="Arial" w:hAnsi="Arial" w:eastAsia="Arial" w:cs="Arial"/>
          <w:color w:val="auto"/>
        </w:rPr>
        <w:t xml:space="preserve">Application dossiers should be sent to </w:t>
      </w:r>
      <w:hyperlink r:id="rId3" w:history="1">
        <w:r>
          <w:rPr>
            <w:rStyle w:val="Hyperlink"/>
            <w:sz w:val="23"/>
            <w:szCs w:val="23"/>
            <w:rFonts w:ascii="Arial" w:hAnsi="Arial" w:eastAsia="Arial" w:cs="Arial"/>
          </w:rPr>
          <w:t xml:space="preserve">academic_partnerships@lse.ac.uk</w:t>
        </w:r>
      </w:hyperlink>
      <w:r>
        <w:rPr>
          <w:sz w:val="23"/>
          <w:szCs w:val="23"/>
          <w:rFonts w:ascii="Arial" w:hAnsi="Arial" w:eastAsia="Arial" w:cs="Arial"/>
        </w:rPr>
        <w:t xml:space="preserve">. The a</w:t>
      </w:r>
      <w:r>
        <w:rPr>
          <w:sz w:val="23"/>
          <w:szCs w:val="23"/>
          <w:rFonts w:ascii="Arial" w:hAnsi="Arial" w:eastAsia="Arial" w:cs="Arial"/>
        </w:rPr>
        <w:t xml:space="preserve">pplication deadline for 2015/6 visits is </w:t>
      </w:r>
      <w:r>
        <w:rPr>
          <w:sz w:val="23"/>
          <w:szCs w:val="23"/>
          <w:rFonts w:ascii="Arial" w:hAnsi="Arial" w:eastAsia="Arial" w:cs="Arial"/>
          <w:b/>
          <w:color w:val="FF0000"/>
        </w:rPr>
        <w:t xml:space="preserve">midday </w:t>
      </w:r>
      <w:r>
        <w:rPr>
          <w:sz w:val="23"/>
          <w:szCs w:val="23"/>
          <w:rFonts w:ascii="Arial" w:hAnsi="Arial" w:eastAsia="Arial" w:cs="Arial"/>
          <w:b/>
          <w:color w:val="FF0000"/>
        </w:rPr>
        <w:t xml:space="preserve">on </w:t>
      </w:r>
      <w:r>
        <w:rPr>
          <w:sz w:val="23"/>
          <w:szCs w:val="23"/>
          <w:rFonts w:ascii="Arial" w:hAnsi="Arial" w:eastAsia="Arial" w:cs="Arial"/>
          <w:b/>
          <w:color w:val="FF0000"/>
        </w:rPr>
        <w:t xml:space="preserve">Wednesday</w:t>
      </w:r>
      <w:r>
        <w:rPr>
          <w:sz w:val="23"/>
          <w:szCs w:val="23"/>
          <w:rFonts w:ascii="Arial" w:hAnsi="Arial" w:eastAsia="Arial" w:cs="Arial"/>
          <w:b/>
          <w:color w:val="FF0000"/>
        </w:rPr>
        <w:t xml:space="preserve"> </w:t>
      </w:r>
      <w:r>
        <w:rPr>
          <w:sz w:val="23"/>
          <w:szCs w:val="23"/>
          <w:rFonts w:ascii="Arial" w:hAnsi="Arial" w:eastAsia="Arial" w:cs="Arial"/>
          <w:b/>
          <w:color w:val="FF0000"/>
        </w:rPr>
        <w:t xml:space="preserve">13</w:t>
      </w:r>
      <w:r>
        <w:rPr>
          <w:sz w:val="23"/>
          <w:szCs w:val="23"/>
          <w:rFonts w:ascii="Arial" w:hAnsi="Arial" w:eastAsia="Arial" w:cs="Arial"/>
          <w:b/>
          <w:color w:val="FF0000"/>
          <w:vertAlign w:val="superscript"/>
        </w:rPr>
        <w:t xml:space="preserve">th</w:t>
      </w:r>
      <w:r>
        <w:rPr>
          <w:sz w:val="23"/>
          <w:szCs w:val="23"/>
          <w:rFonts w:ascii="Arial" w:hAnsi="Arial" w:eastAsia="Arial" w:cs="Arial"/>
          <w:b/>
          <w:color w:val="FF0000"/>
        </w:rPr>
        <w:t xml:space="preserve"> </w:t>
      </w:r>
      <w:r>
        <w:rPr>
          <w:sz w:val="23"/>
          <w:szCs w:val="23"/>
          <w:rFonts w:ascii="Arial" w:hAnsi="Arial" w:eastAsia="Arial" w:cs="Arial"/>
          <w:b/>
          <w:color w:val="FF0000"/>
        </w:rPr>
        <w:t xml:space="preserve">May 2015</w:t>
      </w:r>
    </w:p>
    <w:p>
      <w:pPr>
        <w:pStyle w:val="Default"/>
        <w:rPr>
          <w:sz w:val="23"/>
          <w:szCs w:val="23"/>
          <w:rFonts w:ascii="Arial" w:hAnsi="Arial" w:eastAsia="Arial" w:cs="Arial"/>
        </w:rPr>
        <w:jc w:val="both"/>
        <w:spacing/>
      </w:pPr>
    </w:p>
    <w:p>
      <w:pPr>
        <w:pStyle w:val="Default"/>
        <w:rPr>
          <w:sz w:val="23"/>
          <w:szCs w:val="23"/>
          <w:rFonts w:ascii="Arial" w:hAnsi="Arial" w:eastAsia="Arial" w:cs="Arial"/>
        </w:rPr>
        <w:jc w:val="both"/>
        <w:ind w:left="720"/>
        <w:spacing/>
      </w:pPr>
      <w:r>
        <w:rPr>
          <w:sz w:val="23"/>
          <w:szCs w:val="23"/>
          <w:rFonts w:ascii="Arial" w:hAnsi="Arial" w:eastAsia="Arial" w:cs="Arial"/>
        </w:rPr>
        <w:t xml:space="preserve">Note - </w:t>
      </w:r>
      <w:r>
        <w:rPr>
          <w:sz w:val="23"/>
          <w:szCs w:val="23"/>
          <w:rFonts w:ascii="Arial" w:hAnsi="Arial" w:eastAsia="Arial" w:cs="Arial"/>
        </w:rPr>
        <w:t xml:space="preserve">Any visit must take place within three months of the end of the </w:t>
      </w:r>
      <w:r>
        <w:rPr>
          <w:sz w:val="23"/>
          <w:szCs w:val="23"/>
          <w:rFonts w:ascii="Arial" w:hAnsi="Arial" w:eastAsia="Arial" w:cs="Arial"/>
        </w:rPr>
        <w:t xml:space="preserve">ESRC </w:t>
      </w:r>
      <w:r>
        <w:rPr>
          <w:sz w:val="23"/>
          <w:szCs w:val="23"/>
          <w:rFonts w:ascii="Arial" w:hAnsi="Arial" w:eastAsia="Arial" w:cs="Arial"/>
        </w:rPr>
        <w:t xml:space="preserve">funded part of the programme (so for those with a funding end date of 30 September 201</w:t>
      </w:r>
      <w:r>
        <w:rPr>
          <w:sz w:val="23"/>
          <w:szCs w:val="23"/>
          <w:rFonts w:ascii="Arial" w:hAnsi="Arial" w:eastAsia="Arial" w:cs="Arial"/>
        </w:rPr>
        <w:t xml:space="preserve">6</w:t>
      </w:r>
      <w:r>
        <w:rPr>
          <w:sz w:val="23"/>
          <w:szCs w:val="23"/>
          <w:rFonts w:ascii="Arial" w:hAnsi="Arial" w:eastAsia="Arial" w:cs="Arial"/>
        </w:rPr>
        <w:t xml:space="preserve">, the visit must be completed by 30 June 201</w:t>
      </w:r>
      <w:r>
        <w:rPr>
          <w:sz w:val="23"/>
          <w:szCs w:val="23"/>
          <w:rFonts w:ascii="Arial" w:hAnsi="Arial" w:eastAsia="Arial" w:cs="Arial"/>
        </w:rPr>
        <w:t xml:space="preserve">6</w:t>
      </w:r>
      <w:r>
        <w:rPr>
          <w:sz w:val="23"/>
          <w:szCs w:val="23"/>
          <w:rFonts w:ascii="Arial" w:hAnsi="Arial" w:eastAsia="Arial" w:cs="Arial"/>
        </w:rPr>
        <w:t xml:space="preserve">). </w:t>
      </w:r>
    </w:p>
    <w:p>
      <w:pPr>
        <w:pStyle w:val="Default"/>
        <w:rPr>
          <w:sz w:val="23"/>
          <w:szCs w:val="23"/>
          <w:rFonts w:ascii="Arial" w:hAnsi="Arial" w:eastAsia="Arial" w:cs="Arial"/>
        </w:rPr>
        <w:jc w:val="both"/>
        <w:ind w:left="720"/>
        <w:spacing/>
      </w:pPr>
    </w:p>
    <w:p>
      <w:pPr>
        <w:pStyle w:val="Default"/>
        <w:rPr>
          <w:sz w:val="23"/>
          <w:szCs w:val="23"/>
          <w:rFonts w:ascii="Arial" w:hAnsi="Arial" w:eastAsia="Arial" w:cs="Arial"/>
          <w:color w:val="auto"/>
        </w:rPr>
        <w:jc w:val="both"/>
        <w:ind w:left="720"/>
        <w:spacing/>
      </w:pPr>
      <w:r>
        <w:rPr>
          <w:sz w:val="23"/>
          <w:szCs w:val="23"/>
          <w:rFonts w:ascii="Arial" w:hAnsi="Arial" w:eastAsia="Arial" w:cs="Arial"/>
        </w:rPr>
        <w:t xml:space="preserve">PhD Supervisors are welcome to send their support statements either in electronic format (to </w:t>
      </w:r>
      <w:r>
        <w:rPr>
          <w:sz w:val="23"/>
          <w:szCs w:val="23"/>
          <w:rFonts w:ascii="Arial" w:hAnsi="Arial" w:eastAsia="Arial" w:cs="Arial"/>
          <w:u w:val="single"/>
          <w:color w:val="0000CC"/>
        </w:rPr>
        <w:t xml:space="preserve">academic_partnerships@lse.ac.uk</w:t>
      </w:r>
      <w:r>
        <w:rPr>
          <w:sz w:val="23"/>
          <w:szCs w:val="23"/>
          <w:rFonts w:ascii="Arial" w:hAnsi="Arial" w:eastAsia="Arial" w:cs="Arial"/>
        </w:rPr>
        <w:t xml:space="preserve">) or as hard copy marked “ESRC DTC PhD Partnership Exchange Bursary (LSE)” directly to </w:t>
      </w:r>
      <w:r>
        <w:rPr>
          <w:sz w:val="23"/>
          <w:szCs w:val="23"/>
          <w:rFonts w:ascii="Arial" w:hAnsi="Arial" w:eastAsia="Arial" w:cs="Arial"/>
          <w:color w:val="auto"/>
        </w:rPr>
        <w:t xml:space="preserve">the LSE’s </w:t>
      </w:r>
      <w:r>
        <w:rPr>
          <w:sz w:val="23"/>
          <w:szCs w:val="23"/>
          <w:rFonts w:ascii="Arial" w:hAnsi="Arial" w:eastAsia="Arial" w:cs="Arial"/>
          <w:i/>
          <w:iCs/>
          <w:color w:val="auto"/>
        </w:rPr>
        <w:t xml:space="preserve">Partnership PhD Mobility Co-ordinator </w:t>
      </w:r>
      <w:r>
        <w:rPr>
          <w:sz w:val="23"/>
          <w:szCs w:val="23"/>
          <w:rFonts w:ascii="Arial" w:hAnsi="Arial" w:eastAsia="Arial" w:cs="Arial"/>
          <w:color w:val="auto"/>
        </w:rPr>
        <w:t xml:space="preserve">c/o LSE Academic Partnerships Office, Room TW3. </w:t>
      </w:r>
      <w:r>
        <w:rPr>
          <w:sz w:val="23"/>
          <w:szCs w:val="23"/>
          <w:rFonts w:ascii="Arial" w:hAnsi="Arial" w:eastAsia="Arial" w:cs="Arial"/>
          <w:color w:val="auto"/>
        </w:rPr>
        <w:t xml:space="preserve">4.01, Houghton Street, London, WC2A 2AE.</w:t>
      </w:r>
      <w:r>
        <w:rPr>
          <w:sz w:val="23"/>
          <w:szCs w:val="23"/>
          <w:rFonts w:ascii="Arial" w:hAnsi="Arial" w:eastAsia="Arial" w:cs="Arial"/>
          <w:color w:val="auto"/>
        </w:rPr>
        <w:t xml:space="preserve"> </w:t>
      </w:r>
    </w:p>
    <w:p>
      <w:pPr>
        <w:pStyle w:val="Default"/>
        <w:rPr>
          <w:sz w:val="23"/>
          <w:szCs w:val="23"/>
          <w:rFonts w:ascii="Arial" w:hAnsi="Arial" w:eastAsia="Arial" w:cs="Arial"/>
          <w:color w:val="FF0000"/>
        </w:rPr>
        <w:jc w:val="both"/>
        <w:spacing/>
      </w:pPr>
    </w:p>
    <w:p>
      <w:pPr>
        <w:numPr>
          <w:ilvl w:val="0"/>
          <w:numId w:val="7"/>
        </w:numPr>
        <w:pStyle w:val="Default"/>
        <w:rPr>
          <w:sz w:val="23"/>
          <w:szCs w:val="23"/>
          <w:rFonts w:ascii="Arial" w:hAnsi="Arial" w:eastAsia="Arial" w:cs="Arial"/>
          <w:color w:val="auto"/>
        </w:rPr>
        <w:jc w:val="both"/>
        <w:spacing/>
      </w:pPr>
      <w:r>
        <w:rPr>
          <w:sz w:val="23"/>
          <w:szCs w:val="23"/>
          <w:rFonts w:ascii="Arial" w:hAnsi="Arial" w:eastAsia="Arial" w:cs="Arial"/>
          <w:color w:val="auto"/>
        </w:rPr>
        <w:t xml:space="preserve">A School selection panel will decide which LSE students’ bursary applications should be supported. The panel will normally meet once a year during the Summer Term for the subsequent academic year, but may meet a second time during Michaelmas term where places remain available for that academic year.</w:t>
      </w:r>
    </w:p>
    <w:p>
      <w:pPr>
        <w:pStyle w:val="Default"/>
        <w:rPr>
          <w:sz w:val="23"/>
          <w:szCs w:val="23"/>
          <w:rFonts w:ascii="Arial" w:hAnsi="Arial" w:eastAsia="Arial" w:cs="Arial"/>
        </w:rPr>
        <w:jc w:val="both"/>
        <w:ind w:left="360"/>
        <w:spacing/>
      </w:pPr>
    </w:p>
    <w:p>
      <w:pPr>
        <w:numPr>
          <w:ilvl w:val="0"/>
          <w:numId w:val="7"/>
        </w:numPr>
        <w:pStyle w:val="Default"/>
        <w:rPr>
          <w:sz w:val="23"/>
          <w:szCs w:val="23"/>
          <w:rFonts w:ascii="Arial" w:hAnsi="Arial" w:eastAsia="Arial" w:cs="Arial"/>
        </w:rPr>
        <w:jc w:val="both"/>
        <w:spacing/>
      </w:pPr>
      <w:r>
        <w:rPr>
          <w:sz w:val="23"/>
          <w:szCs w:val="23"/>
          <w:rFonts w:ascii="Arial" w:hAnsi="Arial" w:eastAsia="Arial" w:cs="Arial"/>
        </w:rPr>
        <w:t xml:space="preserve">For each LSE-supported application, the </w:t>
      </w:r>
      <w:r>
        <w:rPr>
          <w:sz w:val="23"/>
          <w:szCs w:val="23"/>
          <w:rFonts w:ascii="Arial" w:hAnsi="Arial" w:eastAsia="Arial" w:cs="Arial"/>
          <w:i/>
          <w:iCs/>
        </w:rPr>
        <w:t xml:space="preserve">Partnership PhD Mobility Co-ordinator </w:t>
      </w:r>
      <w:r>
        <w:rPr>
          <w:sz w:val="23"/>
          <w:szCs w:val="23"/>
          <w:rFonts w:ascii="Arial" w:hAnsi="Arial" w:eastAsia="Arial" w:cs="Arial"/>
        </w:rPr>
        <w:t xml:space="preserve">at the </w:t>
      </w:r>
      <w:r>
        <w:rPr>
          <w:sz w:val="23"/>
          <w:szCs w:val="23"/>
          <w:rFonts w:ascii="Arial" w:hAnsi="Arial" w:eastAsia="Arial" w:cs="Arial"/>
          <w:i/>
          <w:iCs/>
        </w:rPr>
        <w:t xml:space="preserve">host </w:t>
      </w:r>
      <w:r>
        <w:rPr>
          <w:sz w:val="23"/>
          <w:szCs w:val="23"/>
          <w:rFonts w:ascii="Arial" w:hAnsi="Arial" w:eastAsia="Arial" w:cs="Arial"/>
        </w:rPr>
        <w:t xml:space="preserve">institution will establish whether the academic purpose of the LSE student’s visit is acceptable and whether the scholar(s) with whom the LSE student intends to work is willing and able to assume this role during the proposed period of the student’s visit (or at a mutually agreed alternative period). When these points have been established, s/he will reply to the </w:t>
      </w:r>
      <w:r>
        <w:rPr>
          <w:sz w:val="23"/>
          <w:szCs w:val="23"/>
          <w:rFonts w:ascii="Arial" w:hAnsi="Arial" w:eastAsia="Arial" w:cs="Arial"/>
          <w:i/>
          <w:iCs/>
        </w:rPr>
        <w:t xml:space="preserve">Partnership PhD Mobility Co-ordinator </w:t>
      </w:r>
      <w:r>
        <w:rPr>
          <w:sz w:val="23"/>
          <w:szCs w:val="23"/>
          <w:rFonts w:ascii="Arial" w:hAnsi="Arial" w:eastAsia="Arial" w:cs="Arial"/>
        </w:rPr>
        <w:t xml:space="preserve">at LSE to confirm if (and when) the LSE student can visit the </w:t>
      </w:r>
      <w:r>
        <w:rPr>
          <w:sz w:val="23"/>
          <w:szCs w:val="23"/>
          <w:rFonts w:ascii="Arial" w:hAnsi="Arial" w:eastAsia="Arial" w:cs="Arial"/>
          <w:i/>
          <w:iCs/>
        </w:rPr>
        <w:t xml:space="preserve">host </w:t>
      </w:r>
      <w:r>
        <w:rPr>
          <w:sz w:val="23"/>
          <w:szCs w:val="23"/>
          <w:rFonts w:ascii="Arial" w:hAnsi="Arial" w:eastAsia="Arial" w:cs="Arial"/>
        </w:rPr>
        <w:t xml:space="preserve">Institution and arrange for the necessary admission procedures to be invoked. </w:t>
      </w:r>
    </w:p>
    <w:p>
      <w:pPr>
        <w:pStyle w:val="Default"/>
        <w:rPr>
          <w:sz w:val="23"/>
          <w:szCs w:val="23"/>
          <w:rFonts w:ascii="Arial" w:hAnsi="Arial" w:eastAsia="Arial" w:cs="Arial"/>
          <w:color w:val="000000"/>
        </w:rPr>
        <w:jc w:val="both"/>
        <w:spacing/>
      </w:pPr>
    </w:p>
    <w:p>
      <w:pPr>
        <w:numPr>
          <w:ilvl w:val="0"/>
          <w:numId w:val="7"/>
        </w:numPr>
        <w:pStyle w:val="Default"/>
        <w:rPr>
          <w:sz w:val="23"/>
          <w:szCs w:val="23"/>
          <w:rFonts w:ascii="Arial" w:hAnsi="Arial" w:eastAsia="Arial" w:cs="Arial"/>
          <w:color w:val="000000"/>
        </w:rPr>
        <w:jc w:val="both"/>
        <w:spacing/>
      </w:pPr>
      <w:r>
        <w:rPr>
          <w:sz w:val="23"/>
          <w:szCs w:val="23"/>
          <w:rFonts w:ascii="Arial" w:hAnsi="Arial" w:eastAsia="Arial" w:cs="Arial"/>
          <w:color w:val="000000"/>
        </w:rPr>
        <w:t xml:space="preserve">Once accepted, the LSE student will receive a note of acceptance and, in due course, a formal offer of admission from the relevant administrative division at the </w:t>
      </w:r>
      <w:r>
        <w:rPr>
          <w:sz w:val="23"/>
          <w:szCs w:val="23"/>
          <w:rFonts w:ascii="Arial" w:hAnsi="Arial" w:eastAsia="Arial" w:cs="Arial"/>
          <w:i/>
          <w:iCs/>
          <w:color w:val="000000"/>
        </w:rPr>
        <w:t xml:space="preserve">host </w:t>
      </w:r>
      <w:r>
        <w:rPr>
          <w:sz w:val="23"/>
          <w:szCs w:val="23"/>
          <w:rFonts w:ascii="Arial" w:hAnsi="Arial" w:eastAsia="Arial" w:cs="Arial"/>
          <w:color w:val="000000"/>
        </w:rPr>
        <w:t xml:space="preserve">institution. Details of how to apply for any visas required will also be provided. </w:t>
      </w:r>
    </w:p>
    <w:p>
      <w:pPr>
        <w:pStyle w:val="Default"/>
        <w:rPr>
          <w:sz w:val="23"/>
          <w:szCs w:val="23"/>
          <w:rFonts w:ascii="Arial" w:hAnsi="Arial" w:eastAsia="Arial" w:cs="Arial"/>
          <w:color w:val="000000"/>
        </w:rPr>
        <w:jc w:val="both"/>
        <w:spacing/>
      </w:pPr>
    </w:p>
    <w:p>
      <w:pPr>
        <w:numPr>
          <w:ilvl w:val="0"/>
          <w:numId w:val="7"/>
        </w:numPr>
        <w:pStyle w:val="Default"/>
        <w:rPr>
          <w:sz w:val="23"/>
          <w:szCs w:val="23"/>
          <w:rFonts w:ascii="Arial" w:hAnsi="Arial" w:eastAsia="Arial" w:cs="Arial"/>
          <w:color w:val="000000"/>
        </w:rPr>
        <w:jc w:val="both"/>
        <w:spacing/>
      </w:pPr>
      <w:r>
        <w:rPr>
          <w:sz w:val="23"/>
          <w:szCs w:val="23"/>
          <w:rFonts w:ascii="Arial" w:hAnsi="Arial" w:eastAsia="Arial" w:cs="Arial"/>
          <w:color w:val="000000"/>
        </w:rPr>
        <w:t xml:space="preserve">FSO will be notified and the payment </w:t>
      </w:r>
      <w:r>
        <w:rPr>
          <w:sz w:val="23"/>
          <w:szCs w:val="23"/>
          <w:rFonts w:ascii="Arial" w:hAnsi="Arial" w:eastAsia="Arial" w:cs="Arial"/>
          <w:color w:val="000000"/>
        </w:rPr>
        <w:t xml:space="preserve">(up to £2,500) </w:t>
      </w:r>
      <w:r>
        <w:rPr>
          <w:sz w:val="23"/>
          <w:szCs w:val="23"/>
          <w:rFonts w:ascii="Arial" w:hAnsi="Arial" w:eastAsia="Arial" w:cs="Arial"/>
          <w:color w:val="000000"/>
        </w:rPr>
        <w:t xml:space="preserve">will be made</w:t>
      </w:r>
      <w:r>
        <w:rPr>
          <w:sz w:val="23"/>
          <w:szCs w:val="23"/>
          <w:rFonts w:ascii="Arial" w:hAnsi="Arial" w:eastAsia="Arial" w:cs="Arial"/>
          <w:color w:val="000000"/>
        </w:rPr>
        <w:t xml:space="preserve"> paid </w:t>
      </w:r>
      <w:r>
        <w:rPr>
          <w:sz w:val="23"/>
          <w:szCs w:val="23"/>
          <w:rFonts w:ascii="Arial" w:hAnsi="Arial" w:eastAsia="Arial" w:cs="Arial"/>
          <w:color w:val="000000"/>
        </w:rPr>
        <w:t xml:space="preserve">via cheque </w:t>
      </w:r>
      <w:r>
        <w:rPr>
          <w:sz w:val="23"/>
          <w:szCs w:val="23"/>
          <w:rFonts w:ascii="Arial" w:hAnsi="Arial" w:eastAsia="Arial" w:cs="Arial"/>
          <w:color w:val="000000"/>
        </w:rPr>
        <w:t xml:space="preserve">using the FSO database.</w:t>
      </w:r>
    </w:p>
    <w:p>
      <w:pPr>
        <w:pStyle w:val="ListParagraph"/>
        <w:rPr>
          <w:sz w:val="23"/>
          <w:szCs w:val="23"/>
          <w:rFonts w:ascii="Arial" w:hAnsi="Arial" w:eastAsia="Arial" w:cs="Arial"/>
          <w:color w:val="000000"/>
        </w:rPr>
        <w:jc w:val="both"/>
        <w:spacing/>
      </w:pPr>
    </w:p>
    <w:p>
      <w:pPr>
        <w:numPr>
          <w:ilvl w:val="0"/>
          <w:numId w:val="7"/>
        </w:numPr>
        <w:pStyle w:val="Default"/>
        <w:rPr>
          <w:sz w:val="23"/>
          <w:szCs w:val="23"/>
          <w:rFonts w:ascii="Arial" w:hAnsi="Arial" w:eastAsia="Arial" w:cs="Arial"/>
          <w:color w:val="auto"/>
        </w:rPr>
        <w:jc w:val="both"/>
        <w:spacing/>
      </w:pPr>
      <w:r>
        <w:rPr>
          <w:sz w:val="23"/>
          <w:szCs w:val="23"/>
          <w:rFonts w:ascii="Arial" w:hAnsi="Arial" w:eastAsia="Arial" w:cs="Arial"/>
          <w:color w:val="auto"/>
        </w:rPr>
        <w:t xml:space="preserve">ESRC students in receipt of a bursary will have the period of the visit added on to their funded award and their maximum period of registration will also be increased</w:t>
      </w:r>
      <w:r>
        <w:rPr>
          <w:sz w:val="23"/>
          <w:szCs w:val="23"/>
          <w:rFonts w:ascii="Arial" w:hAnsi="Arial" w:eastAsia="Arial" w:cs="Arial"/>
          <w:color w:val="auto"/>
        </w:rPr>
        <w:t xml:space="preserve"> by FSO.</w:t>
      </w:r>
    </w:p>
    <w:p>
      <w:pPr>
        <w:rPr/>
        <w:jc w:val="both"/>
        <w:spacing/>
      </w:pPr>
    </w:p>
    <w:sectPr>
      <w:type w:val="nextPage"/>
      <w:pgSz w:w="12240" w:h="15840"/>
      <w:pgMar w:top="1134" w:right="1467" w:bottom="1077" w:left="1560" w:footer="709" w:header="709" w:gutter="0"/>
      <w:pgBorders/>
      <w:docGrid w:linePitch="360"/>
      <w:pgNumType w:fmt="decimal"/>
      <w:cols w:num="1" w:equalWidth="1" w:space="708"/>
    </w:sectPr>
  </w:body>
</w:document>
</file>

<file path=word/numbering.xml><?xml version="1.0" encoding="utf-8"?>
<w:numbering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abstractNum w:abstractNumId="0">
    <w:lvl w:ilvl="0">
      <w:start w:val="1"/>
      <w:numFmt w:val="decimal"/>
      <w:lvlText w:val="%1."/>
      <w:suff w:val="tab"/>
      <w:pPr>
        <w:ind w:left="720"/>
        <w:spacing/>
      </w:pPr>
      <w:rPr>
        <w:rFonts w:ascii="Times New Roman" w:hAnsi="Times New Roman" w:eastAsia="Times New Roman" w:cs="Times New Roman"/>
      </w:rPr>
    </w:lvl>
    <w:lvl w:ilvl="1">
      <w:start w:val="1"/>
      <w:lvlJc w:val="right"/>
      <w:numFmt w:val="lowerLetter"/>
      <w:lvlText w:val="%2."/>
      <w:suff w:val="tab"/>
      <w:pPr>
        <w:ind w:left="1440"/>
        <w:spacing/>
      </w:pPr>
      <w:rPr>
        <w:rFonts w:ascii="Times New Roman" w:hAnsi="Times New Roman" w:eastAsia="Times New Roman" w:cs="Times New Roman"/>
      </w:rPr>
    </w:lvl>
    <w:lvl w:ilvl="2">
      <w:start w:val="1"/>
      <w:numFmt w:val="lowerRoman"/>
      <w:lvlText w:val="%3."/>
      <w:suff w:val="tab"/>
      <w:pPr>
        <w:ind w:left="2160"/>
        <w:spacing/>
      </w:pPr>
      <w:rPr>
        <w:rFonts w:ascii="Times New Roman" w:hAnsi="Times New Roman" w:eastAsia="Times New Roman" w:cs="Times New Roman"/>
      </w:rPr>
    </w:lvl>
    <w:lvl w:ilvl="3">
      <w:start w:val="1"/>
      <w:numFmt w:val="decimal"/>
      <w:lvlText w:val="%4."/>
      <w:suff w:val="tab"/>
      <w:pPr>
        <w:ind w:left="2880"/>
        <w:spacing/>
      </w:pPr>
      <w:rPr>
        <w:rFonts w:ascii="Times New Roman" w:hAnsi="Times New Roman" w:eastAsia="Times New Roman" w:cs="Times New Roman"/>
      </w:rPr>
    </w:lvl>
    <w:lvl w:ilvl="4">
      <w:start w:val="1"/>
      <w:lvlJc w:val="right"/>
      <w:numFmt w:val="lowerLetter"/>
      <w:lvlText w:val="%5."/>
      <w:suff w:val="tab"/>
      <w:pPr>
        <w:ind w:left="3600"/>
        <w:spacing/>
      </w:pPr>
      <w:rPr>
        <w:rFonts w:ascii="Times New Roman" w:hAnsi="Times New Roman" w:eastAsia="Times New Roman" w:cs="Times New Roman"/>
      </w:rPr>
    </w:lvl>
    <w:lvl w:ilvl="5">
      <w:start w:val="1"/>
      <w:numFmt w:val="lowerRoman"/>
      <w:lvlText w:val="%6."/>
      <w:suff w:val="tab"/>
      <w:pPr>
        <w:ind w:left="4320"/>
        <w:spacing/>
      </w:pPr>
      <w:rPr>
        <w:rFonts w:ascii="Times New Roman" w:hAnsi="Times New Roman" w:eastAsia="Times New Roman" w:cs="Times New Roman"/>
      </w:rPr>
    </w:lvl>
    <w:lvl w:ilvl="6">
      <w:start w:val="1"/>
      <w:numFmt w:val="decimal"/>
      <w:lvlText w:val="%7."/>
      <w:suff w:val="tab"/>
      <w:pPr>
        <w:ind w:left="5040"/>
        <w:spacing/>
      </w:pPr>
      <w:rPr>
        <w:rFonts w:ascii="Times New Roman" w:hAnsi="Times New Roman" w:eastAsia="Times New Roman" w:cs="Times New Roman"/>
      </w:rPr>
    </w:lvl>
    <w:lvl w:ilvl="7">
      <w:start w:val="1"/>
      <w:lvlJc w:val="right"/>
      <w:numFmt w:val="lowerLetter"/>
      <w:lvlText w:val="%8."/>
      <w:suff w:val="tab"/>
      <w:pPr>
        <w:ind w:left="5760"/>
        <w:spacing/>
      </w:pPr>
      <w:rPr>
        <w:rFonts w:ascii="Times New Roman" w:hAnsi="Times New Roman" w:eastAsia="Times New Roman" w:cs="Times New Roman"/>
      </w:rPr>
    </w:lvl>
    <w:lvl w:ilvl="8">
      <w:start w:val="1"/>
      <w:numFmt w:val="lowerRoman"/>
      <w:lvlText w:val="%9."/>
      <w:suff w:val="tab"/>
      <w:pPr>
        <w:ind w:left="6480"/>
        <w:spacing/>
      </w:pPr>
      <w:rPr>
        <w:rFonts w:ascii="Times New Roman" w:hAnsi="Times New Roman" w:eastAsia="Times New Roman" w:cs="Times New Roman"/>
      </w:rPr>
    </w:lvl>
  </w:abstractNum>
  <w:abstractNum w:abstractNumId="1">
    <w:lvl w:ilvl="0">
      <w:start w:val="1"/>
      <w:numFmt w:val="bullet"/>
      <w:lvlText w:val=""/>
      <w:suff w:val="tab"/>
      <w:pPr>
        <w:ind w:left="720"/>
        <w:spacing/>
      </w:pPr>
      <w:rPr>
        <w:rFonts w:ascii="Symbol" w:hAnsi="Symbol" w:eastAsia="Symbol" w:cs="Symbol"/>
      </w:rPr>
    </w:lvl>
    <w:lvl w:ilvl="1">
      <w:start w:val="1"/>
      <w:numFmt w:val="bullet"/>
      <w:lvlText w:val="o"/>
      <w:suff w:val="tab"/>
      <w:pPr>
        <w:ind w:left="1440"/>
        <w:spacing/>
      </w:pPr>
      <w:rPr>
        <w:rFonts w:ascii="Courier New" w:hAnsi="Courier New" w:eastAsia="Courier New" w:cs="Courier New"/>
      </w:rPr>
    </w:lvl>
    <w:lvl w:ilvl="2">
      <w:start w:val="1"/>
      <w:numFmt w:val="bullet"/>
      <w:lvlText w:val=""/>
      <w:suff w:val="tab"/>
      <w:pPr>
        <w:ind w:left="2160"/>
        <w:spacing/>
      </w:pPr>
      <w:rPr>
        <w:rFonts w:ascii="Wingdings" w:hAnsi="Wingdings" w:eastAsia="Wingdings" w:cs="Wingdings"/>
      </w:rPr>
    </w:lvl>
    <w:lvl w:ilvl="3">
      <w:start w:val="1"/>
      <w:numFmt w:val="bullet"/>
      <w:lvlText w:val=""/>
      <w:suff w:val="tab"/>
      <w:pPr>
        <w:ind w:left="2880"/>
        <w:spacing/>
      </w:pPr>
      <w:rPr>
        <w:rFonts w:ascii="Symbol" w:hAnsi="Symbol" w:eastAsia="Symbol" w:cs="Symbol"/>
      </w:rPr>
    </w:lvl>
    <w:lvl w:ilvl="4">
      <w:start w:val="1"/>
      <w:numFmt w:val="bullet"/>
      <w:lvlText w:val="o"/>
      <w:suff w:val="tab"/>
      <w:pPr>
        <w:ind w:left="3600"/>
        <w:spacing/>
      </w:pPr>
      <w:rPr>
        <w:rFonts w:ascii="Courier New" w:hAnsi="Courier New" w:eastAsia="Courier New" w:cs="Courier New"/>
      </w:rPr>
    </w:lvl>
    <w:lvl w:ilvl="5">
      <w:start w:val="1"/>
      <w:numFmt w:val="bullet"/>
      <w:lvlText w:val=""/>
      <w:suff w:val="tab"/>
      <w:pPr>
        <w:ind w:left="4320"/>
        <w:spacing/>
      </w:pPr>
      <w:rPr>
        <w:rFonts w:ascii="Wingdings" w:hAnsi="Wingdings" w:eastAsia="Wingdings" w:cs="Wingdings"/>
      </w:rPr>
    </w:lvl>
    <w:lvl w:ilvl="6">
      <w:start w:val="1"/>
      <w:numFmt w:val="bullet"/>
      <w:lvlText w:val=""/>
      <w:suff w:val="tab"/>
      <w:pPr>
        <w:ind w:left="5040"/>
        <w:spacing/>
      </w:pPr>
      <w:rPr>
        <w:rFonts w:ascii="Symbol" w:hAnsi="Symbol" w:eastAsia="Symbol" w:cs="Symbol"/>
      </w:rPr>
    </w:lvl>
    <w:lvl w:ilvl="7">
      <w:start w:val="1"/>
      <w:numFmt w:val="bullet"/>
      <w:lvlText w:val="o"/>
      <w:suff w:val="tab"/>
      <w:pPr>
        <w:ind w:left="5760"/>
        <w:spacing/>
      </w:pPr>
      <w:rPr>
        <w:rFonts w:ascii="Courier New" w:hAnsi="Courier New" w:eastAsia="Courier New" w:cs="Courier New"/>
      </w:rPr>
    </w:lvl>
    <w:lvl w:ilvl="8">
      <w:start w:val="1"/>
      <w:numFmt w:val="bullet"/>
      <w:lvlText w:val=""/>
      <w:suff w:val="tab"/>
      <w:pPr>
        <w:ind w:left="6480"/>
        <w:spacing/>
      </w:pPr>
      <w:rPr>
        <w:rFonts w:ascii="Wingdings" w:hAnsi="Wingdings" w:eastAsia="Wingdings" w:cs="Wingdings"/>
      </w:rPr>
    </w:lvl>
  </w:abstractNum>
  <w:abstractNum w:abstractNumId="2">
    <w:lvl w:ilvl="0">
      <w:start w:val="1"/>
      <w:numFmt w:val="decimal"/>
      <w:lvlText w:val="%1."/>
      <w:suff w:val="tab"/>
      <w:pPr>
        <w:ind w:left="720" w:firstLine="-360"/>
        <w:spacing/>
      </w:pPr>
      <w:rPr/>
    </w:lvl>
    <w:lvl w:ilvl="1">
      <w:start w:val="1"/>
      <w:lvlJc w:val="right"/>
      <w:numFmt w:val="lowerRoman"/>
      <w:lvlText w:val="%2."/>
      <w:suff w:val="tab"/>
      <w:pPr>
        <w:ind w:left="1440" w:firstLine="-360"/>
        <w:spacing/>
      </w:pPr>
      <w:rPr/>
    </w:lvl>
    <w:lvl w:ilvl="2">
      <w:start w:val="1"/>
      <w:numFmt w:val="bullet"/>
      <w:lvlText w:val=""/>
      <w:suff w:val="tab"/>
      <w:pPr>
        <w:ind w:left="2160" w:firstLine="-180"/>
        <w:spacing/>
      </w:pPr>
      <w:rPr>
        <w:rFonts w:ascii="Symbol" w:hAnsi="Symbol" w:eastAsia="Symbol" w:cs="Symbol"/>
      </w:rPr>
    </w:lvl>
    <w:lvl w:ilvl="3">
      <w:start w:val="1"/>
      <w:numFmt w:val="decimal"/>
      <w:lvlText w:val="%4."/>
      <w:suff w:val="tab"/>
      <w:pPr>
        <w:ind w:left="2880" w:firstLine="-360"/>
        <w:spacing/>
      </w:pPr>
      <w:rPr/>
    </w:lvl>
    <w:lvl w:ilvl="4">
      <w:start w:val="1"/>
      <w:numFmt w:val="lowerLetter"/>
      <w:lvlText w:val="%5."/>
      <w:suff w:val="tab"/>
      <w:pPr>
        <w:ind w:left="3600" w:firstLine="-360"/>
        <w:spacing/>
      </w:pPr>
      <w:rPr/>
    </w:lvl>
    <w:lvl w:ilvl="5">
      <w:start w:val="1"/>
      <w:lvlJc w:val="right"/>
      <w:numFmt w:val="lowerRoman"/>
      <w:lvlText w:val="%6."/>
      <w:suff w:val="tab"/>
      <w:pPr>
        <w:ind w:left="4320" w:firstLine="-180"/>
        <w:spacing/>
      </w:pPr>
      <w:rPr/>
    </w:lvl>
    <w:lvl w:ilvl="6">
      <w:start w:val="1"/>
      <w:numFmt w:val="decimal"/>
      <w:lvlText w:val="%7."/>
      <w:suff w:val="tab"/>
      <w:pPr>
        <w:ind w:left="5040" w:firstLine="-360"/>
        <w:spacing/>
      </w:pPr>
      <w:rPr/>
    </w:lvl>
    <w:lvl w:ilvl="7">
      <w:start w:val="1"/>
      <w:numFmt w:val="lowerLetter"/>
      <w:lvlText w:val="%8."/>
      <w:suff w:val="tab"/>
      <w:pPr>
        <w:ind w:left="5760" w:firstLine="-360"/>
        <w:spacing/>
      </w:pPr>
      <w:rPr/>
    </w:lvl>
    <w:lvl w:ilvl="8">
      <w:start w:val="1"/>
      <w:lvlJc w:val="right"/>
      <w:numFmt w:val="lowerRoman"/>
      <w:lvlText w:val="%9."/>
      <w:suff w:val="tab"/>
      <w:pPr>
        <w:ind w:left="6480" w:firstLine="-180"/>
        <w:spacing/>
      </w:pPr>
      <w:rPr/>
    </w:lvl>
  </w:abstractNum>
  <w:abstractNum w:abstractNumId="3">
    <w:lvl w:ilvl="0">
      <w:start w:val="1"/>
      <w:numFmt w:val="bullet"/>
      <w:lvlText w:val=""/>
      <w:suff w:val="tab"/>
      <w:pPr>
        <w:ind w:left="720" w:firstLine="-360"/>
        <w:spacing/>
      </w:pPr>
      <w:rPr>
        <w:rFonts w:ascii="Symbol" w:hAnsi="Symbol" w:eastAsia="Symbol" w:cs="Symbol"/>
      </w:rPr>
    </w:lvl>
    <w:lvl w:ilvl="1">
      <w:start w:val="1"/>
      <w:numFmt w:val="bullet"/>
      <w:lvlText w:val="o"/>
      <w:suff w:val="tab"/>
      <w:pPr>
        <w:ind w:left="1440" w:firstLine="-360"/>
        <w:spacing/>
      </w:pPr>
      <w:rPr>
        <w:rFonts w:ascii="Courier New" w:hAnsi="Courier New" w:eastAsia="Courier New" w:cs="Courier New"/>
      </w:rPr>
    </w:lvl>
    <w:lvl w:ilvl="2">
      <w:start w:val="1"/>
      <w:numFmt w:val="bullet"/>
      <w:lvlText w:val=""/>
      <w:suff w:val="tab"/>
      <w:pPr>
        <w:ind w:left="2160" w:firstLine="-360"/>
        <w:spacing/>
      </w:pPr>
      <w:rPr>
        <w:rFonts w:ascii="Wingdings" w:hAnsi="Wingdings" w:eastAsia="Wingdings" w:cs="Wingdings"/>
      </w:rPr>
    </w:lvl>
    <w:lvl w:ilvl="3">
      <w:start w:val="1"/>
      <w:numFmt w:val="bullet"/>
      <w:lvlText w:val=""/>
      <w:suff w:val="tab"/>
      <w:pPr>
        <w:ind w:left="2880" w:firstLine="-360"/>
        <w:spacing/>
      </w:pPr>
      <w:rPr>
        <w:rFonts w:ascii="Symbol" w:hAnsi="Symbol" w:eastAsia="Symbol" w:cs="Symbol"/>
      </w:rPr>
    </w:lvl>
    <w:lvl w:ilvl="4">
      <w:start w:val="1"/>
      <w:numFmt w:val="bullet"/>
      <w:lvlText w:val="o"/>
      <w:suff w:val="tab"/>
      <w:pPr>
        <w:ind w:left="3600" w:firstLine="-360"/>
        <w:spacing/>
      </w:pPr>
      <w:rPr>
        <w:rFonts w:ascii="Courier New" w:hAnsi="Courier New" w:eastAsia="Courier New" w:cs="Courier New"/>
      </w:rPr>
    </w:lvl>
    <w:lvl w:ilvl="5">
      <w:start w:val="1"/>
      <w:numFmt w:val="bullet"/>
      <w:lvlText w:val=""/>
      <w:suff w:val="tab"/>
      <w:pPr>
        <w:ind w:left="4320" w:firstLine="-360"/>
        <w:spacing/>
      </w:pPr>
      <w:rPr>
        <w:rFonts w:ascii="Wingdings" w:hAnsi="Wingdings" w:eastAsia="Wingdings" w:cs="Wingdings"/>
      </w:rPr>
    </w:lvl>
    <w:lvl w:ilvl="6">
      <w:start w:val="1"/>
      <w:numFmt w:val="bullet"/>
      <w:lvlText w:val=""/>
      <w:suff w:val="tab"/>
      <w:pPr>
        <w:ind w:left="5040" w:firstLine="-360"/>
        <w:spacing/>
      </w:pPr>
      <w:rPr>
        <w:rFonts w:ascii="Symbol" w:hAnsi="Symbol" w:eastAsia="Symbol" w:cs="Symbol"/>
      </w:rPr>
    </w:lvl>
    <w:lvl w:ilvl="7">
      <w:start w:val="1"/>
      <w:numFmt w:val="bullet"/>
      <w:lvlText w:val="o"/>
      <w:suff w:val="tab"/>
      <w:pPr>
        <w:ind w:left="5760" w:firstLine="-360"/>
        <w:spacing/>
      </w:pPr>
      <w:rPr>
        <w:rFonts w:ascii="Courier New" w:hAnsi="Courier New" w:eastAsia="Courier New" w:cs="Courier New"/>
      </w:rPr>
    </w:lvl>
    <w:lvl w:ilvl="8">
      <w:start w:val="1"/>
      <w:numFmt w:val="bullet"/>
      <w:lvlText w:val=""/>
      <w:suff w:val="tab"/>
      <w:pPr>
        <w:ind w:left="6480" w:firstLine="-360"/>
        <w:spacing/>
      </w:pPr>
      <w:rPr>
        <w:rFonts w:ascii="Wingdings" w:hAnsi="Wingdings" w:eastAsia="Wingdings" w:cs="Wingdings"/>
      </w:rPr>
    </w:lvl>
  </w:abstractNum>
  <w:abstractNum w:abstractNumId="4">
    <w:lvl w:ilvl="0">
      <w:start w:val="1"/>
      <w:numFmt w:val="decimal"/>
      <w:lvlText w:val="%1."/>
      <w:suff w:val="tab"/>
      <w:pPr>
        <w:ind w:left="720" w:firstLine="-360"/>
        <w:spacing/>
      </w:pPr>
      <w:rPr/>
    </w:lvl>
    <w:lvl w:ilvl="1">
      <w:start w:val="1"/>
      <w:lvlJc w:val="right"/>
      <w:numFmt w:val="lowerRoman"/>
      <w:lvlText w:val="%2."/>
      <w:suff w:val="tab"/>
      <w:pPr>
        <w:ind w:left="1440" w:firstLine="-360"/>
        <w:spacing/>
      </w:pPr>
      <w:rPr/>
    </w:lvl>
    <w:lvl w:ilvl="2">
      <w:start w:val="1"/>
      <w:lvlJc w:val="right"/>
      <w:numFmt w:val="lowerRoman"/>
      <w:lvlText w:val="%3."/>
      <w:suff w:val="tab"/>
      <w:pPr>
        <w:ind w:left="2160" w:firstLine="-180"/>
        <w:spacing/>
      </w:pPr>
      <w:rPr/>
    </w:lvl>
    <w:lvl w:ilvl="3">
      <w:start w:val="1"/>
      <w:numFmt w:val="decimal"/>
      <w:lvlText w:val="%4."/>
      <w:suff w:val="tab"/>
      <w:pPr>
        <w:ind w:left="2880" w:firstLine="-360"/>
        <w:spacing/>
      </w:pPr>
      <w:rPr/>
    </w:lvl>
    <w:lvl w:ilvl="4">
      <w:start w:val="1"/>
      <w:numFmt w:val="lowerLetter"/>
      <w:lvlText w:val="%5."/>
      <w:suff w:val="tab"/>
      <w:pPr>
        <w:ind w:left="3600" w:firstLine="-360"/>
        <w:spacing/>
      </w:pPr>
      <w:rPr/>
    </w:lvl>
    <w:lvl w:ilvl="5">
      <w:start w:val="1"/>
      <w:lvlJc w:val="right"/>
      <w:numFmt w:val="lowerRoman"/>
      <w:lvlText w:val="%6."/>
      <w:suff w:val="tab"/>
      <w:pPr>
        <w:ind w:left="4320" w:firstLine="-180"/>
        <w:spacing/>
      </w:pPr>
      <w:rPr/>
    </w:lvl>
    <w:lvl w:ilvl="6">
      <w:start w:val="1"/>
      <w:numFmt w:val="decimal"/>
      <w:lvlText w:val="%7."/>
      <w:suff w:val="tab"/>
      <w:pPr>
        <w:ind w:left="5040" w:firstLine="-360"/>
        <w:spacing/>
      </w:pPr>
      <w:rPr/>
    </w:lvl>
    <w:lvl w:ilvl="7">
      <w:start w:val="1"/>
      <w:numFmt w:val="lowerLetter"/>
      <w:lvlText w:val="%8."/>
      <w:suff w:val="tab"/>
      <w:pPr>
        <w:ind w:left="5760" w:firstLine="-360"/>
        <w:spacing/>
      </w:pPr>
      <w:rPr/>
    </w:lvl>
    <w:lvl w:ilvl="8">
      <w:start w:val="1"/>
      <w:lvlJc w:val="right"/>
      <w:numFmt w:val="lowerRoman"/>
      <w:lvlText w:val="%9."/>
      <w:suff w:val="tab"/>
      <w:pPr>
        <w:ind w:left="6480" w:firstLine="-180"/>
        <w:spacing/>
      </w:pPr>
      <w:rPr/>
    </w:lvl>
  </w:abstractNum>
  <w:abstractNum w:abstractNumId="5">
    <w:lvl w:ilvl="0">
      <w:start w:val="1"/>
      <w:numFmt w:val="decimal"/>
      <w:lvlText w:val="%1."/>
      <w:suff w:val="tab"/>
      <w:pPr>
        <w:ind w:left="720" w:firstLine="-360"/>
        <w:spacing/>
      </w:pPr>
      <w:rPr/>
    </w:lvl>
    <w:lvl w:ilvl="1">
      <w:start w:val="1"/>
      <w:lvlJc w:val="right"/>
      <w:numFmt w:val="lowerRoman"/>
      <w:lvlText w:val="%2."/>
      <w:suff w:val="tab"/>
      <w:pPr>
        <w:ind w:left="1440" w:firstLine="-360"/>
        <w:spacing/>
      </w:pPr>
      <w:rPr/>
    </w:lvl>
    <w:lvl w:ilvl="2">
      <w:start w:val="1"/>
      <w:lvlJc w:val="right"/>
      <w:numFmt w:val="lowerRoman"/>
      <w:lvlText w:val="%3."/>
      <w:suff w:val="tab"/>
      <w:pPr>
        <w:ind w:left="2160" w:firstLine="-180"/>
        <w:spacing/>
      </w:pPr>
      <w:rPr/>
    </w:lvl>
    <w:lvl w:ilvl="3">
      <w:start w:val="1"/>
      <w:numFmt w:val="decimal"/>
      <w:lvlText w:val="%4."/>
      <w:suff w:val="tab"/>
      <w:pPr>
        <w:ind w:left="2880" w:firstLine="-360"/>
        <w:spacing/>
      </w:pPr>
      <w:rPr/>
    </w:lvl>
    <w:lvl w:ilvl="4">
      <w:start w:val="1"/>
      <w:numFmt w:val="lowerLetter"/>
      <w:lvlText w:val="%5."/>
      <w:suff w:val="tab"/>
      <w:pPr>
        <w:ind w:left="3600" w:firstLine="-360"/>
        <w:spacing/>
      </w:pPr>
      <w:rPr/>
    </w:lvl>
    <w:lvl w:ilvl="5">
      <w:start w:val="1"/>
      <w:lvlJc w:val="right"/>
      <w:numFmt w:val="lowerRoman"/>
      <w:lvlText w:val="%6."/>
      <w:suff w:val="tab"/>
      <w:pPr>
        <w:ind w:left="4320" w:firstLine="-180"/>
        <w:spacing/>
      </w:pPr>
      <w:rPr/>
    </w:lvl>
    <w:lvl w:ilvl="6">
      <w:start w:val="1"/>
      <w:numFmt w:val="decimal"/>
      <w:lvlText w:val="%7."/>
      <w:suff w:val="tab"/>
      <w:pPr>
        <w:ind w:left="5040" w:firstLine="-360"/>
        <w:spacing/>
      </w:pPr>
      <w:rPr/>
    </w:lvl>
    <w:lvl w:ilvl="7">
      <w:start w:val="1"/>
      <w:numFmt w:val="lowerLetter"/>
      <w:lvlText w:val="%8."/>
      <w:suff w:val="tab"/>
      <w:pPr>
        <w:ind w:left="5760" w:firstLine="-360"/>
        <w:spacing/>
      </w:pPr>
      <w:rPr/>
    </w:lvl>
    <w:lvl w:ilvl="8">
      <w:start w:val="1"/>
      <w:lvlJc w:val="right"/>
      <w:numFmt w:val="lowerRoman"/>
      <w:lvlText w:val="%9."/>
      <w:suff w:val="tab"/>
      <w:pPr>
        <w:ind w:left="6480" w:firstLine="-180"/>
        <w:spacing/>
      </w:pPr>
      <w:rPr/>
    </w:lvl>
  </w:abstractNum>
  <w:abstractNum w:abstractNumId="6">
    <w:lvl w:ilvl="0">
      <w:start w:val="1"/>
      <w:numFmt w:val="decimal"/>
      <w:lvlText w:val="%1."/>
      <w:suff w:val="tab"/>
      <w:pPr>
        <w:ind w:left="720" w:firstLine="-360"/>
        <w:spacing/>
      </w:pPr>
      <w:rPr/>
    </w:lvl>
    <w:lvl w:ilvl="1">
      <w:start w:val="1"/>
      <w:numFmt w:val="lowerLetter"/>
      <w:lvlText w:val="%2."/>
      <w:suff w:val="tab"/>
      <w:pPr>
        <w:ind w:left="1440" w:firstLine="-360"/>
        <w:spacing/>
      </w:pPr>
      <w:rPr/>
    </w:lvl>
    <w:lvl w:ilvl="2">
      <w:start w:val="1"/>
      <w:lvlJc w:val="right"/>
      <w:numFmt w:val="lowerRoman"/>
      <w:lvlText w:val="%3."/>
      <w:suff w:val="tab"/>
      <w:pPr>
        <w:ind w:left="2160" w:firstLine="-180"/>
        <w:spacing/>
      </w:pPr>
      <w:rPr/>
    </w:lvl>
    <w:lvl w:ilvl="3">
      <w:start w:val="1"/>
      <w:numFmt w:val="decimal"/>
      <w:lvlText w:val="%4."/>
      <w:suff w:val="tab"/>
      <w:pPr>
        <w:ind w:left="2880" w:firstLine="-360"/>
        <w:spacing/>
      </w:pPr>
      <w:rPr/>
    </w:lvl>
    <w:lvl w:ilvl="4">
      <w:start w:val="1"/>
      <w:numFmt w:val="lowerLetter"/>
      <w:lvlText w:val="%5."/>
      <w:suff w:val="tab"/>
      <w:pPr>
        <w:ind w:left="3600" w:firstLine="-360"/>
        <w:spacing/>
      </w:pPr>
      <w:rPr/>
    </w:lvl>
    <w:lvl w:ilvl="5">
      <w:start w:val="1"/>
      <w:lvlJc w:val="right"/>
      <w:numFmt w:val="lowerRoman"/>
      <w:lvlText w:val="%6."/>
      <w:suff w:val="tab"/>
      <w:pPr>
        <w:ind w:left="4320" w:firstLine="-180"/>
        <w:spacing/>
      </w:pPr>
      <w:rPr/>
    </w:lvl>
    <w:lvl w:ilvl="6">
      <w:start w:val="1"/>
      <w:numFmt w:val="decimal"/>
      <w:lvlText w:val="%7."/>
      <w:suff w:val="tab"/>
      <w:pPr>
        <w:ind w:left="5040" w:firstLine="-360"/>
        <w:spacing/>
      </w:pPr>
      <w:rPr/>
    </w:lvl>
    <w:lvl w:ilvl="7">
      <w:start w:val="1"/>
      <w:numFmt w:val="lowerLetter"/>
      <w:lvlText w:val="%8."/>
      <w:suff w:val="tab"/>
      <w:pPr>
        <w:ind w:left="5760" w:firstLine="-360"/>
        <w:spacing/>
      </w:pPr>
      <w:rPr/>
    </w:lvl>
    <w:lvl w:ilvl="8">
      <w:start w:val="1"/>
      <w:lvlJc w:val="right"/>
      <w:numFmt w:val="lowerRoman"/>
      <w:lvlText w:val="%9."/>
      <w:suff w:val="tab"/>
      <w:pPr>
        <w:ind w:left="6480" w:firstLine="-180"/>
        <w:spacing/>
      </w:pPr>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w="http://schemas.openxmlformats.org/wordprocessingml/2006/main">
  <w:zoom w:percent="100"/>
  <w:proofState w:grammar="clean" w:spelling="clean"/>
  <w:defaultTabStop w:val="720"/>
  <w:compat>
    <w:adjustLineHeightInTable/>
    <w:splitPgBreakAndParaMark/>
  </w:compat>
</w:settings>
</file>

<file path=word/styles.xml><?xml version="1.0" encoding="utf-8"?>
<w:styles xmlns:w="http://schemas.openxmlformats.org/wordprocessingml/2006/main" xmlns:w10="urn:schemas-microsoft-com:office:word" xmlns:ve="http://schemas.openxmlformats.org/markup-compatibility/2006" xmlns:r="http://schemas.openxmlformats.org/officeDocument/2006/relationships" xmlns:m="http://schemas.openxmlformats.org/officeDocument/2006/math" xmlns:wne="http://schemas.microsoft.com/office/word/2006/wordml" xmlns:pic="http://schemas.openxmlformats.org/drawingml/2006/picture">
  <w:docDefaults>
    <w:rPrDefault>
      <w:rPr>
        <w:rFonts w:ascii="Times New Roman" w:hAnsi="Times New Roman" w:eastAsia="Times New Roman" w:cs="Times New Roman"/>
        <w:lang w:val="en-GB" w:eastAsia="ar-SA"/>
      </w:rPr>
    </w:rPrDefault>
    <w:pPrDefault/>
  </w:docDefaults>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default="1" w:styleId="Normal">
    <w:name w:val="Normal"/>
    <w:qFormat/>
    <w:pPr>
      <w:spacing/>
    </w:pPr>
    <w:rPr>
      <w:sz w:val="24"/>
      <w:szCs w:val="24"/>
      <w:lang w:val="en-US" w:eastAsia="en-US"/>
    </w:rPr>
  </w:style>
  <w:style w:type="character" w:default="1" w:styleId="DefaultParagraphFont">
    <w:name w:val="Default Paragraph Font"/>
    <w:semiHidden/>
    <w:unhideWhenUsed/>
    <w:rPr/>
  </w:style>
  <w:style w:type="table" w:default="1" w:styleId="TableNormal">
    <w:name w:val="Normal Table"/>
    <w:semiHidden/>
    <w:unhideWhenUsed/>
    <w:tblPr>
      <w:tblInd w:w="0" w:type="dxa"/>
      <w:tblCellMar>
        <w:top w:w="0" w:type="dxa"/>
        <w:left w:w="108" w:type="dxa"/>
        <w:bottom w:w="0" w:type="dxa"/>
        <w:right w:w="108" w:type="dxa"/>
      </w:tblCellMar>
    </w:tblPr>
  </w:style>
  <w:style w:type="paragraph" w:custom="1" w:styleId="Default">
    <w:name w:val="Default"/>
    <w:pPr>
      <w:spacing/>
      <w:autoSpaceDE w:val="false"/>
      <w:autoSpaceDN w:val="false"/>
      <w:adjustRightInd w:val="false"/>
    </w:pPr>
    <w:rPr>
      <w:sz w:val="24"/>
      <w:szCs w:val="24"/>
      <w:color w:val="000000"/>
    </w:rPr>
  </w:style>
  <w:style w:type="paragraph" w:custom="1" w:styleId="ListParagraph">
    <w:name w:val="List Paragraph"/>
    <w:qFormat/>
    <w:basedOn w:val="Normal"/>
    <w:pPr>
      <w:ind w:left="720"/>
      <w:contextualSpacing/>
      <w:spacing/>
    </w:pPr>
    <w:rPr/>
  </w:style>
  <w:style w:type="paragraph" w:styleId="Header">
    <w:name w:val="Header"/>
    <w:basedOn w:val="Normal"/>
    <w:link w:val="HeaderChar"/>
    <w:pPr>
      <w:tabs>
        <w:tab w:pos="4513" w:val="center"/>
        <w:tab w:pos="9026" w:val="right"/>
      </w:tabs>
      <w:spacing/>
    </w:pPr>
    <w:rPr/>
  </w:style>
  <w:style w:type="character" w:custom="1" w:styleId="HeaderChar">
    <w:name w:val="Header Char"/>
    <w:basedOn w:val="DefaultParagraphFont"/>
    <w:link w:val="Header"/>
    <w:rPr>
      <w:sz w:val="24"/>
      <w:szCs w:val="24"/>
      <w:lang w:val="en-US" w:eastAsia="en-US"/>
    </w:rPr>
  </w:style>
  <w:style w:type="paragraph" w:styleId="Footer">
    <w:name w:val="Footer"/>
    <w:basedOn w:val="Normal"/>
    <w:link w:val="FooterChar"/>
    <w:pPr>
      <w:tabs>
        <w:tab w:pos="4513" w:val="center"/>
        <w:tab w:pos="9026" w:val="right"/>
      </w:tabs>
      <w:spacing/>
    </w:pPr>
    <w:rPr/>
  </w:style>
  <w:style w:type="character" w:custom="1" w:styleId="FooterChar">
    <w:name w:val="Footer Char"/>
    <w:basedOn w:val="DefaultParagraphFont"/>
    <w:link w:val="Footer"/>
    <w:rPr>
      <w:sz w:val="24"/>
      <w:szCs w:val="24"/>
      <w:lang w:val="en-US" w:eastAsia="en-US"/>
    </w:rPr>
  </w:style>
  <w:style w:type="character" w:styleId="Hyperlink">
    <w:name w:val="Hyperlink"/>
    <w:basedOn w:val="DefaultParagraphFont"/>
    <w:rPr>
      <w:u w:val="single"/>
      <w:color w:val="0000FF"/>
    </w:rPr>
  </w:style>
  <w:style w:type="paragraph" w:styleId="BalloonText">
    <w:name w:val="Balloon Text"/>
    <w:basedOn w:val="Normal"/>
    <w:link w:val="BalloonTextChar"/>
    <w:pPr>
      <w:spacing/>
    </w:pPr>
    <w:rPr>
      <w:sz w:val="16"/>
      <w:szCs w:val="16"/>
      <w:rFonts w:ascii="Tahoma" w:hAnsi="Tahoma" w:eastAsia="Tahoma" w:cs="Tahoma"/>
    </w:rPr>
  </w:style>
  <w:style w:type="character" w:custom="1" w:styleId="BalloonTextChar">
    <w:name w:val="Balloon Text Char"/>
    <w:basedOn w:val="DefaultParagraphFont"/>
    <w:link w:val="BalloonText"/>
    <w:rPr>
      <w:sz w:val="16"/>
      <w:szCs w:val="16"/>
      <w:rFonts w:ascii="Tahoma" w:hAnsi="Tahoma" w:eastAsia="Tahoma" w:cs="Tahoma"/>
      <w:lang w:val="en-US" w:eastAsia="en-US"/>
    </w:rPr>
  </w:style>
</w:styles>
</file>

<file path=word/_rels/document.xml.rels>&#65279;<?xml version="1.0" encoding="UTF-8" standalone="yes"?><Relationships xmlns="http://schemas.openxmlformats.org/package/2006/relationships"><Relationship Type="http://schemas.openxmlformats.org/officeDocument/2006/relationships/styles" Target="styles.xml" Id="rId7" /><Relationship Type="http://schemas.openxmlformats.org/officeDocument/2006/relationships/settings" Target="settings.xml" Id="rId8" /><Relationship Type="http://schemas.openxmlformats.org/officeDocument/2006/relationships/numbering" Target="numbering.xml" Id="rId9" /><Relationship Type="http://schemas.openxmlformats.org/officeDocument/2006/relationships/hyperlink" Target="mailto:k.rawlings@lse.ac.uk" Id="rId2" TargetMode="External" /><Relationship Type="http://schemas.openxmlformats.org/officeDocument/2006/relationships/hyperlink" Target="mailto:academic_partnerships@lse.ac.uk" Id="rId3" TargetMode="External" /><Relationship Type="http://schemas.openxmlformats.org/officeDocument/2006/relationships/image" Target="media/image1.jpeg" Id="rId1" /></Relationships>
</file>

<file path=docProps/app.xml><?xml version="1.0" encoding="utf-8"?>
<Properties xmlns:vt="http://schemas.openxmlformats.org/officeDocument/2006/docPropsVTypes" xmlns="http://schemas.openxmlformats.org/officeDocument/2006/extended-properties">
  <Template>8215506F.dotm</Template>
  <TotalTime>0</TotalTime>
  <Pages>2</Pages>
  <Words>663</Words>
  <Characters>3587</Characters>
  <Application>Microsoft Office Word</Application>
  <DocSecurity>0</DocSecurity>
  <Lines>29</Lines>
  <Paragraphs>8</Paragraphs>
  <Company>London School of Economics and Political Science</Company>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ESRC DTC PhD Partnership Exchange Bursaries 2015-16 Process Document</dc:title>
  <dc:creator>Fiona Conlan</dc:creator>
  <cp:lastModifiedBy>Administrator</cp:lastModifiedBy>
  <cp:lastPrinted>2015-02-02T13:01:00Z</cp:lastPrinted>
  <cp:revision>2</cp:revision>
  <dcterms:created xsi:type="dcterms:W3CDTF">2015-05-06T17:38:00Z</dcterms:created>
  <dcterms:modified xsi:type="dcterms:W3CDTF">2015-05-06T18:44:08.383Z</dcterms:modified>
</cp:coreProperties>
</file>