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B5E" w:rsidRPr="00C34B5E" w:rsidRDefault="00C34B5E" w:rsidP="00C34B5E">
      <w:pPr>
        <w:pStyle w:val="Heading1"/>
        <w:rPr>
          <w:rFonts w:cs="Arial"/>
          <w:color w:val="auto"/>
        </w:rPr>
      </w:pPr>
      <w:r>
        <w:rPr>
          <w:rFonts w:cs="Arial"/>
          <w:color w:val="auto"/>
        </w:rPr>
        <w:t xml:space="preserve">PROGRAMME SPECIFICATION: </w:t>
      </w:r>
      <w:r w:rsidR="002A5A90" w:rsidRPr="002A5A90">
        <w:rPr>
          <w:rFonts w:cs="Arial"/>
          <w:color w:val="auto"/>
        </w:rPr>
        <w:t xml:space="preserve">Executive </w:t>
      </w:r>
      <w:bookmarkStart w:id="0" w:name="_GoBack"/>
      <w:bookmarkEnd w:id="0"/>
      <w:r w:rsidRPr="00C34B5E">
        <w:rPr>
          <w:rFonts w:cs="Arial"/>
          <w:color w:val="auto"/>
        </w:rPr>
        <w:t>MSc in Behavioural Science</w:t>
      </w:r>
    </w:p>
    <w:p w:rsidR="00C34B5E" w:rsidRPr="00A55B1D" w:rsidRDefault="00C34B5E" w:rsidP="00C34B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3960"/>
        <w:gridCol w:w="4528"/>
      </w:tblGrid>
      <w:tr w:rsidR="00C34B5E" w:rsidRPr="00AC001C" w:rsidTr="002521FD">
        <w:tc>
          <w:tcPr>
            <w:tcW w:w="468" w:type="dxa"/>
            <w:shd w:val="pct10" w:color="auto" w:fill="auto"/>
          </w:tcPr>
          <w:p w:rsidR="00C34B5E" w:rsidRPr="00AC001C" w:rsidRDefault="00C34B5E" w:rsidP="002521FD">
            <w:pPr>
              <w:rPr>
                <w:rFonts w:cs="Arial"/>
                <w:b/>
                <w:bCs/>
                <w:szCs w:val="20"/>
              </w:rPr>
            </w:pPr>
            <w:r w:rsidRPr="00AC001C">
              <w:rPr>
                <w:rFonts w:cs="Arial"/>
                <w:b/>
                <w:bCs/>
                <w:szCs w:val="20"/>
              </w:rPr>
              <w:t xml:space="preserve">1. </w:t>
            </w:r>
          </w:p>
        </w:tc>
        <w:tc>
          <w:tcPr>
            <w:tcW w:w="3960" w:type="dxa"/>
            <w:shd w:val="pct10" w:color="auto" w:fill="auto"/>
          </w:tcPr>
          <w:p w:rsidR="00C34B5E" w:rsidRPr="00AC001C" w:rsidRDefault="00C34B5E" w:rsidP="002521FD">
            <w:pPr>
              <w:rPr>
                <w:rFonts w:cs="Arial"/>
                <w:b/>
                <w:bCs/>
                <w:szCs w:val="20"/>
              </w:rPr>
            </w:pPr>
            <w:r w:rsidRPr="00AC001C">
              <w:rPr>
                <w:rFonts w:cs="Arial"/>
                <w:b/>
                <w:bCs/>
                <w:szCs w:val="20"/>
              </w:rPr>
              <w:t>Awarding Body</w:t>
            </w:r>
          </w:p>
        </w:tc>
        <w:tc>
          <w:tcPr>
            <w:tcW w:w="4528" w:type="dxa"/>
          </w:tcPr>
          <w:p w:rsidR="00C34B5E" w:rsidRPr="00C34B5E" w:rsidRDefault="00C34B5E" w:rsidP="002521FD">
            <w:pPr>
              <w:rPr>
                <w:rFonts w:cs="Arial"/>
                <w:szCs w:val="20"/>
              </w:rPr>
            </w:pPr>
            <w:r w:rsidRPr="00C34B5E">
              <w:rPr>
                <w:rFonts w:cs="Arial"/>
                <w:spacing w:val="-2"/>
                <w:szCs w:val="20"/>
              </w:rPr>
              <w:t xml:space="preserve">LSE </w:t>
            </w:r>
          </w:p>
        </w:tc>
      </w:tr>
      <w:tr w:rsidR="00C34B5E" w:rsidRPr="00AC001C" w:rsidTr="002521FD">
        <w:tc>
          <w:tcPr>
            <w:tcW w:w="468" w:type="dxa"/>
            <w:shd w:val="pct10" w:color="auto" w:fill="auto"/>
          </w:tcPr>
          <w:p w:rsidR="00C34B5E" w:rsidRPr="00AC001C" w:rsidRDefault="00C34B5E" w:rsidP="002521FD">
            <w:pPr>
              <w:rPr>
                <w:rFonts w:cs="Arial"/>
                <w:b/>
                <w:bCs/>
                <w:szCs w:val="20"/>
              </w:rPr>
            </w:pPr>
            <w:r w:rsidRPr="00AC001C">
              <w:rPr>
                <w:rFonts w:cs="Arial"/>
                <w:b/>
                <w:bCs/>
                <w:szCs w:val="20"/>
              </w:rPr>
              <w:t xml:space="preserve">2. </w:t>
            </w:r>
          </w:p>
        </w:tc>
        <w:tc>
          <w:tcPr>
            <w:tcW w:w="3960" w:type="dxa"/>
            <w:shd w:val="pct10" w:color="auto" w:fill="auto"/>
          </w:tcPr>
          <w:p w:rsidR="00C34B5E" w:rsidRPr="00AC001C" w:rsidRDefault="00C34B5E" w:rsidP="002521FD">
            <w:pPr>
              <w:rPr>
                <w:rFonts w:cs="Arial"/>
                <w:b/>
                <w:bCs/>
                <w:szCs w:val="20"/>
              </w:rPr>
            </w:pPr>
            <w:r w:rsidRPr="00AC001C">
              <w:rPr>
                <w:rFonts w:cs="Arial"/>
                <w:b/>
                <w:bCs/>
                <w:szCs w:val="20"/>
              </w:rPr>
              <w:t xml:space="preserve">Details of accreditation by a professional/statutory body, </w:t>
            </w:r>
            <w:r>
              <w:rPr>
                <w:rFonts w:cs="Arial"/>
                <w:b/>
                <w:bCs/>
                <w:szCs w:val="20"/>
              </w:rPr>
              <w:br/>
            </w:r>
            <w:r w:rsidRPr="00AC001C">
              <w:rPr>
                <w:rFonts w:cs="Arial"/>
                <w:b/>
                <w:bCs/>
                <w:szCs w:val="20"/>
              </w:rPr>
              <w:t xml:space="preserve">e.g. ESRC; BPS </w:t>
            </w:r>
            <w:proofErr w:type="spellStart"/>
            <w:r w:rsidRPr="00AC001C">
              <w:rPr>
                <w:rFonts w:cs="Arial"/>
                <w:b/>
                <w:bCs/>
                <w:szCs w:val="20"/>
              </w:rPr>
              <w:t>etc</w:t>
            </w:r>
            <w:proofErr w:type="spellEnd"/>
          </w:p>
        </w:tc>
        <w:tc>
          <w:tcPr>
            <w:tcW w:w="4528" w:type="dxa"/>
          </w:tcPr>
          <w:p w:rsidR="00C34B5E" w:rsidRPr="00C34B5E" w:rsidRDefault="00C34B5E" w:rsidP="002521FD">
            <w:pPr>
              <w:rPr>
                <w:rFonts w:cs="Arial"/>
              </w:rPr>
            </w:pPr>
            <w:r w:rsidRPr="00C34B5E">
              <w:rPr>
                <w:rFonts w:cs="Arial"/>
                <w:szCs w:val="20"/>
              </w:rPr>
              <w:t>N/A</w:t>
            </w:r>
          </w:p>
        </w:tc>
      </w:tr>
      <w:tr w:rsidR="00C34B5E" w:rsidRPr="00AC001C" w:rsidTr="002521FD">
        <w:tc>
          <w:tcPr>
            <w:tcW w:w="468" w:type="dxa"/>
            <w:shd w:val="pct10" w:color="auto" w:fill="auto"/>
          </w:tcPr>
          <w:p w:rsidR="00C34B5E" w:rsidRPr="00AC001C" w:rsidRDefault="00C34B5E" w:rsidP="002521FD">
            <w:pPr>
              <w:rPr>
                <w:rFonts w:cs="Arial"/>
                <w:b/>
                <w:bCs/>
                <w:szCs w:val="20"/>
              </w:rPr>
            </w:pPr>
            <w:r w:rsidRPr="00AC001C">
              <w:rPr>
                <w:rFonts w:cs="Arial"/>
                <w:b/>
                <w:bCs/>
                <w:szCs w:val="20"/>
              </w:rPr>
              <w:t xml:space="preserve">3. </w:t>
            </w:r>
          </w:p>
        </w:tc>
        <w:tc>
          <w:tcPr>
            <w:tcW w:w="3960" w:type="dxa"/>
            <w:shd w:val="pct10" w:color="auto" w:fill="auto"/>
          </w:tcPr>
          <w:p w:rsidR="00C34B5E" w:rsidRPr="00AC001C" w:rsidRDefault="00C34B5E" w:rsidP="002521FD">
            <w:pPr>
              <w:rPr>
                <w:rFonts w:cs="Arial"/>
                <w:b/>
                <w:bCs/>
                <w:szCs w:val="20"/>
              </w:rPr>
            </w:pPr>
            <w:r w:rsidRPr="00AC001C">
              <w:rPr>
                <w:rFonts w:cs="Arial"/>
                <w:b/>
                <w:bCs/>
                <w:szCs w:val="20"/>
              </w:rPr>
              <w:t>Name of final award</w:t>
            </w:r>
          </w:p>
        </w:tc>
        <w:tc>
          <w:tcPr>
            <w:tcW w:w="4528" w:type="dxa"/>
          </w:tcPr>
          <w:p w:rsidR="00C34B5E" w:rsidRPr="00C34B5E" w:rsidRDefault="002A5A90" w:rsidP="002521FD">
            <w:pPr>
              <w:pStyle w:val="CommentText"/>
              <w:rPr>
                <w:rFonts w:cs="Arial"/>
              </w:rPr>
            </w:pPr>
            <w:r>
              <w:rPr>
                <w:rFonts w:cs="Arial"/>
              </w:rPr>
              <w:t>Executive</w:t>
            </w:r>
            <w:r w:rsidRPr="00C34B5E">
              <w:rPr>
                <w:rFonts w:cs="Arial"/>
              </w:rPr>
              <w:t xml:space="preserve"> </w:t>
            </w:r>
            <w:r w:rsidR="00C34B5E" w:rsidRPr="00C34B5E">
              <w:rPr>
                <w:rFonts w:cs="Arial"/>
              </w:rPr>
              <w:t>MSc</w:t>
            </w:r>
          </w:p>
        </w:tc>
      </w:tr>
      <w:tr w:rsidR="00C34B5E" w:rsidRPr="00AC001C" w:rsidTr="002521FD">
        <w:tc>
          <w:tcPr>
            <w:tcW w:w="468" w:type="dxa"/>
            <w:shd w:val="pct10" w:color="auto" w:fill="auto"/>
          </w:tcPr>
          <w:p w:rsidR="00C34B5E" w:rsidRPr="00AC001C" w:rsidRDefault="00C34B5E" w:rsidP="002521FD">
            <w:pPr>
              <w:rPr>
                <w:rFonts w:cs="Arial"/>
                <w:b/>
                <w:bCs/>
                <w:szCs w:val="20"/>
              </w:rPr>
            </w:pPr>
            <w:r w:rsidRPr="00AC001C">
              <w:rPr>
                <w:rFonts w:cs="Arial"/>
                <w:b/>
                <w:bCs/>
                <w:szCs w:val="20"/>
              </w:rPr>
              <w:t xml:space="preserve">4. </w:t>
            </w:r>
          </w:p>
        </w:tc>
        <w:tc>
          <w:tcPr>
            <w:tcW w:w="3960" w:type="dxa"/>
            <w:shd w:val="pct10" w:color="auto" w:fill="auto"/>
          </w:tcPr>
          <w:p w:rsidR="00C34B5E" w:rsidRPr="00AC001C" w:rsidRDefault="00C34B5E" w:rsidP="002521FD">
            <w:pPr>
              <w:rPr>
                <w:rFonts w:cs="Arial"/>
                <w:b/>
                <w:bCs/>
                <w:szCs w:val="20"/>
              </w:rPr>
            </w:pPr>
            <w:r w:rsidRPr="00AC001C">
              <w:rPr>
                <w:rFonts w:cs="Arial"/>
                <w:b/>
                <w:bCs/>
                <w:szCs w:val="20"/>
              </w:rPr>
              <w:t>Programme Title</w:t>
            </w:r>
          </w:p>
        </w:tc>
        <w:tc>
          <w:tcPr>
            <w:tcW w:w="4528" w:type="dxa"/>
          </w:tcPr>
          <w:p w:rsidR="00C34B5E" w:rsidRPr="00C34B5E" w:rsidRDefault="00C34B5E" w:rsidP="002521FD">
            <w:pPr>
              <w:rPr>
                <w:rFonts w:cs="Arial"/>
                <w:szCs w:val="20"/>
              </w:rPr>
            </w:pPr>
            <w:r w:rsidRPr="00C34B5E">
              <w:rPr>
                <w:rFonts w:cs="Arial"/>
              </w:rPr>
              <w:t>Behavioural Science</w:t>
            </w:r>
          </w:p>
        </w:tc>
      </w:tr>
      <w:tr w:rsidR="00C34B5E" w:rsidRPr="00AC001C" w:rsidTr="002521FD">
        <w:tc>
          <w:tcPr>
            <w:tcW w:w="468" w:type="dxa"/>
            <w:shd w:val="pct10" w:color="auto" w:fill="auto"/>
          </w:tcPr>
          <w:p w:rsidR="00C34B5E" w:rsidRPr="00AC001C" w:rsidRDefault="00C34B5E" w:rsidP="002521FD">
            <w:pPr>
              <w:rPr>
                <w:rFonts w:cs="Arial"/>
                <w:b/>
                <w:bCs/>
                <w:szCs w:val="20"/>
              </w:rPr>
            </w:pPr>
            <w:r w:rsidRPr="00AC001C">
              <w:rPr>
                <w:rFonts w:cs="Arial"/>
                <w:b/>
                <w:bCs/>
                <w:szCs w:val="20"/>
              </w:rPr>
              <w:t xml:space="preserve">5. </w:t>
            </w:r>
          </w:p>
        </w:tc>
        <w:tc>
          <w:tcPr>
            <w:tcW w:w="3960" w:type="dxa"/>
            <w:shd w:val="pct10" w:color="auto" w:fill="auto"/>
          </w:tcPr>
          <w:p w:rsidR="00C34B5E" w:rsidRPr="00AC001C" w:rsidRDefault="00C34B5E" w:rsidP="002521FD">
            <w:pPr>
              <w:rPr>
                <w:rFonts w:cs="Arial"/>
                <w:b/>
                <w:bCs/>
                <w:szCs w:val="20"/>
              </w:rPr>
            </w:pPr>
            <w:r w:rsidRPr="00AC001C">
              <w:rPr>
                <w:rFonts w:cs="Arial"/>
                <w:b/>
                <w:bCs/>
                <w:szCs w:val="20"/>
              </w:rPr>
              <w:t>Duration of the course</w:t>
            </w:r>
          </w:p>
        </w:tc>
        <w:tc>
          <w:tcPr>
            <w:tcW w:w="4528" w:type="dxa"/>
          </w:tcPr>
          <w:p w:rsidR="00C34B5E" w:rsidRPr="00C34B5E" w:rsidRDefault="00C34B5E" w:rsidP="002521FD">
            <w:pPr>
              <w:rPr>
                <w:rFonts w:cs="Arial"/>
                <w:szCs w:val="20"/>
              </w:rPr>
            </w:pPr>
            <w:r w:rsidRPr="00C34B5E">
              <w:rPr>
                <w:rFonts w:cs="Arial"/>
              </w:rPr>
              <w:t>16 months</w:t>
            </w:r>
          </w:p>
        </w:tc>
      </w:tr>
      <w:tr w:rsidR="00C34B5E" w:rsidRPr="00AC001C" w:rsidTr="002521FD">
        <w:tc>
          <w:tcPr>
            <w:tcW w:w="468" w:type="dxa"/>
            <w:shd w:val="pct10" w:color="auto" w:fill="auto"/>
          </w:tcPr>
          <w:p w:rsidR="00C34B5E" w:rsidRPr="00AC001C" w:rsidRDefault="00C34B5E" w:rsidP="002521FD">
            <w:pPr>
              <w:rPr>
                <w:rFonts w:cs="Arial"/>
                <w:b/>
                <w:bCs/>
                <w:szCs w:val="20"/>
              </w:rPr>
            </w:pPr>
            <w:r w:rsidRPr="00AC001C">
              <w:rPr>
                <w:rFonts w:cs="Arial"/>
                <w:b/>
                <w:bCs/>
                <w:szCs w:val="20"/>
              </w:rPr>
              <w:t xml:space="preserve">6. </w:t>
            </w:r>
          </w:p>
        </w:tc>
        <w:tc>
          <w:tcPr>
            <w:tcW w:w="3960" w:type="dxa"/>
            <w:shd w:val="pct10" w:color="auto" w:fill="auto"/>
          </w:tcPr>
          <w:p w:rsidR="00C34B5E" w:rsidRPr="00AC001C" w:rsidRDefault="00C34B5E" w:rsidP="002521FD">
            <w:pPr>
              <w:rPr>
                <w:rFonts w:cs="Arial"/>
                <w:b/>
                <w:bCs/>
                <w:szCs w:val="20"/>
              </w:rPr>
            </w:pPr>
            <w:r w:rsidRPr="00AC001C">
              <w:rPr>
                <w:rFonts w:cs="Arial"/>
                <w:b/>
                <w:bCs/>
                <w:szCs w:val="20"/>
              </w:rPr>
              <w:t>Based in the Department/Institute:</w:t>
            </w:r>
          </w:p>
        </w:tc>
        <w:tc>
          <w:tcPr>
            <w:tcW w:w="4528" w:type="dxa"/>
          </w:tcPr>
          <w:p w:rsidR="00C34B5E" w:rsidRPr="00C34B5E" w:rsidRDefault="00C34B5E" w:rsidP="002521FD">
            <w:pPr>
              <w:rPr>
                <w:rFonts w:cs="Arial"/>
                <w:szCs w:val="20"/>
              </w:rPr>
            </w:pPr>
            <w:r w:rsidRPr="00C34B5E">
              <w:rPr>
                <w:rFonts w:cs="Arial"/>
              </w:rPr>
              <w:t>Social Policy and Management (joint); Social Policy is the host department</w:t>
            </w:r>
          </w:p>
        </w:tc>
      </w:tr>
      <w:tr w:rsidR="00C34B5E" w:rsidRPr="00AC001C" w:rsidTr="002521FD">
        <w:tc>
          <w:tcPr>
            <w:tcW w:w="468" w:type="dxa"/>
            <w:shd w:val="pct10" w:color="auto" w:fill="auto"/>
          </w:tcPr>
          <w:p w:rsidR="00C34B5E" w:rsidRPr="00AC001C" w:rsidRDefault="00C34B5E" w:rsidP="002521FD">
            <w:pPr>
              <w:rPr>
                <w:rFonts w:cs="Arial"/>
                <w:b/>
                <w:bCs/>
                <w:szCs w:val="20"/>
              </w:rPr>
            </w:pPr>
            <w:r w:rsidRPr="00AC001C">
              <w:rPr>
                <w:rFonts w:cs="Arial"/>
                <w:b/>
                <w:bCs/>
                <w:szCs w:val="20"/>
              </w:rPr>
              <w:t xml:space="preserve">7. </w:t>
            </w:r>
          </w:p>
        </w:tc>
        <w:tc>
          <w:tcPr>
            <w:tcW w:w="3960" w:type="dxa"/>
            <w:shd w:val="pct10" w:color="auto" w:fill="auto"/>
          </w:tcPr>
          <w:p w:rsidR="00C34B5E" w:rsidRPr="00AC001C" w:rsidRDefault="00C34B5E" w:rsidP="002521FD">
            <w:pPr>
              <w:rPr>
                <w:rFonts w:cs="Arial"/>
                <w:b/>
                <w:bCs/>
                <w:szCs w:val="20"/>
              </w:rPr>
            </w:pPr>
            <w:r w:rsidRPr="00AC001C">
              <w:rPr>
                <w:rFonts w:cs="Arial"/>
                <w:b/>
                <w:bCs/>
                <w:szCs w:val="20"/>
              </w:rPr>
              <w:t>Relevant QAA subject benchmark statements</w:t>
            </w:r>
          </w:p>
        </w:tc>
        <w:tc>
          <w:tcPr>
            <w:tcW w:w="4528" w:type="dxa"/>
          </w:tcPr>
          <w:p w:rsidR="00C34B5E" w:rsidRPr="00C34B5E" w:rsidRDefault="00C34B5E" w:rsidP="002521FD">
            <w:pPr>
              <w:pStyle w:val="NormalWeb"/>
              <w:rPr>
                <w:rFonts w:ascii="Arial" w:hAnsi="Arial" w:cs="Arial"/>
                <w:sz w:val="20"/>
                <w:szCs w:val="20"/>
              </w:rPr>
            </w:pPr>
            <w:r w:rsidRPr="00C34B5E">
              <w:rPr>
                <w:rFonts w:ascii="Arial" w:hAnsi="Arial" w:cs="Arial"/>
                <w:sz w:val="20"/>
                <w:szCs w:val="20"/>
              </w:rPr>
              <w:t>N/A</w:t>
            </w:r>
          </w:p>
        </w:tc>
      </w:tr>
      <w:tr w:rsidR="00C34B5E" w:rsidRPr="00AC001C" w:rsidTr="002521FD">
        <w:tc>
          <w:tcPr>
            <w:tcW w:w="468" w:type="dxa"/>
            <w:shd w:val="pct10" w:color="auto" w:fill="auto"/>
          </w:tcPr>
          <w:p w:rsidR="00C34B5E" w:rsidRPr="00AC001C" w:rsidRDefault="00C34B5E" w:rsidP="002521FD">
            <w:pPr>
              <w:rPr>
                <w:rFonts w:cs="Arial"/>
                <w:b/>
                <w:bCs/>
                <w:szCs w:val="20"/>
              </w:rPr>
            </w:pPr>
            <w:r w:rsidRPr="00AC001C">
              <w:rPr>
                <w:rFonts w:cs="Arial"/>
                <w:b/>
                <w:bCs/>
                <w:szCs w:val="20"/>
              </w:rPr>
              <w:t xml:space="preserve">8. </w:t>
            </w:r>
          </w:p>
        </w:tc>
        <w:tc>
          <w:tcPr>
            <w:tcW w:w="3960" w:type="dxa"/>
            <w:shd w:val="pct10" w:color="auto" w:fill="auto"/>
          </w:tcPr>
          <w:p w:rsidR="00C34B5E" w:rsidRPr="00AC001C" w:rsidRDefault="00C34B5E" w:rsidP="002521FD">
            <w:pPr>
              <w:rPr>
                <w:rFonts w:cs="Arial"/>
                <w:b/>
                <w:bCs/>
                <w:szCs w:val="20"/>
              </w:rPr>
            </w:pPr>
            <w:r w:rsidRPr="00AC001C">
              <w:rPr>
                <w:rFonts w:cs="Arial"/>
                <w:b/>
                <w:bCs/>
                <w:szCs w:val="20"/>
              </w:rPr>
              <w:t>UCAS Code</w:t>
            </w:r>
          </w:p>
        </w:tc>
        <w:tc>
          <w:tcPr>
            <w:tcW w:w="4528" w:type="dxa"/>
          </w:tcPr>
          <w:p w:rsidR="00C34B5E" w:rsidRPr="00C34B5E" w:rsidRDefault="00C34B5E" w:rsidP="002521FD">
            <w:pPr>
              <w:rPr>
                <w:rFonts w:cs="Arial"/>
                <w:szCs w:val="20"/>
              </w:rPr>
            </w:pPr>
            <w:r>
              <w:rPr>
                <w:rFonts w:cs="Arial"/>
                <w:szCs w:val="20"/>
              </w:rPr>
              <w:t>C8U9</w:t>
            </w:r>
          </w:p>
        </w:tc>
      </w:tr>
      <w:tr w:rsidR="00C34B5E" w:rsidRPr="00AC001C" w:rsidTr="002521FD">
        <w:tc>
          <w:tcPr>
            <w:tcW w:w="468" w:type="dxa"/>
            <w:shd w:val="pct10" w:color="auto" w:fill="auto"/>
          </w:tcPr>
          <w:p w:rsidR="00C34B5E" w:rsidRPr="00AC001C" w:rsidRDefault="00C34B5E" w:rsidP="002521FD">
            <w:pPr>
              <w:rPr>
                <w:rFonts w:cs="Arial"/>
                <w:b/>
                <w:bCs/>
                <w:szCs w:val="20"/>
              </w:rPr>
            </w:pPr>
            <w:r w:rsidRPr="00AC001C">
              <w:rPr>
                <w:rFonts w:cs="Arial"/>
                <w:b/>
                <w:bCs/>
                <w:szCs w:val="20"/>
              </w:rPr>
              <w:t xml:space="preserve">9. </w:t>
            </w:r>
          </w:p>
        </w:tc>
        <w:tc>
          <w:tcPr>
            <w:tcW w:w="3960" w:type="dxa"/>
            <w:shd w:val="pct10" w:color="auto" w:fill="auto"/>
          </w:tcPr>
          <w:p w:rsidR="00C34B5E" w:rsidRPr="00AC001C" w:rsidRDefault="00C34B5E" w:rsidP="002521FD">
            <w:pPr>
              <w:rPr>
                <w:rFonts w:cs="Arial"/>
                <w:b/>
                <w:bCs/>
                <w:szCs w:val="20"/>
              </w:rPr>
            </w:pPr>
            <w:r w:rsidRPr="00AC001C">
              <w:rPr>
                <w:rFonts w:cs="Arial"/>
                <w:b/>
                <w:bCs/>
                <w:szCs w:val="20"/>
              </w:rPr>
              <w:t>First written/last amended</w:t>
            </w:r>
          </w:p>
        </w:tc>
        <w:tc>
          <w:tcPr>
            <w:tcW w:w="4528" w:type="dxa"/>
          </w:tcPr>
          <w:p w:rsidR="00C34B5E" w:rsidRPr="00C34B5E" w:rsidRDefault="00C34B5E" w:rsidP="002521FD">
            <w:pPr>
              <w:rPr>
                <w:rFonts w:cs="Arial"/>
                <w:szCs w:val="20"/>
              </w:rPr>
            </w:pPr>
            <w:r>
              <w:rPr>
                <w:rFonts w:cs="Arial"/>
                <w:szCs w:val="20"/>
              </w:rPr>
              <w:t>Sept 2014</w:t>
            </w:r>
          </w:p>
        </w:tc>
      </w:tr>
    </w:tbl>
    <w:p w:rsidR="00C34B5E" w:rsidRPr="00AC001C" w:rsidRDefault="00C34B5E" w:rsidP="00C34B5E">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C34B5E" w:rsidRPr="00AC001C" w:rsidTr="002521FD">
        <w:tc>
          <w:tcPr>
            <w:tcW w:w="495" w:type="dxa"/>
            <w:shd w:val="pct10" w:color="auto" w:fill="auto"/>
          </w:tcPr>
          <w:p w:rsidR="00C34B5E" w:rsidRPr="00AC001C" w:rsidRDefault="00C34B5E" w:rsidP="002521FD">
            <w:pPr>
              <w:rPr>
                <w:rFonts w:cs="Arial"/>
                <w:b/>
                <w:bCs/>
                <w:szCs w:val="20"/>
              </w:rPr>
            </w:pPr>
            <w:r w:rsidRPr="00AC001C">
              <w:rPr>
                <w:rFonts w:cs="Arial"/>
                <w:b/>
                <w:bCs/>
                <w:szCs w:val="20"/>
              </w:rPr>
              <w:t xml:space="preserve">10. </w:t>
            </w:r>
          </w:p>
        </w:tc>
        <w:tc>
          <w:tcPr>
            <w:tcW w:w="8402" w:type="dxa"/>
            <w:shd w:val="pct10" w:color="auto" w:fill="auto"/>
          </w:tcPr>
          <w:p w:rsidR="00C34B5E" w:rsidRPr="00AC001C" w:rsidRDefault="00C34B5E" w:rsidP="002521FD">
            <w:pPr>
              <w:rPr>
                <w:rFonts w:cs="Arial"/>
                <w:b/>
                <w:bCs/>
                <w:szCs w:val="20"/>
              </w:rPr>
            </w:pPr>
            <w:r w:rsidRPr="00AC001C">
              <w:rPr>
                <w:rFonts w:cs="Arial"/>
                <w:b/>
                <w:bCs/>
                <w:szCs w:val="20"/>
              </w:rPr>
              <w:t>The programme aims to:</w:t>
            </w:r>
          </w:p>
        </w:tc>
      </w:tr>
      <w:tr w:rsidR="00C34B5E" w:rsidRPr="00AC001C" w:rsidTr="002521FD">
        <w:tc>
          <w:tcPr>
            <w:tcW w:w="8897" w:type="dxa"/>
            <w:gridSpan w:val="2"/>
          </w:tcPr>
          <w:p w:rsidR="00C34B5E" w:rsidRDefault="00C34B5E" w:rsidP="002521FD">
            <w:pPr>
              <w:pStyle w:val="CommentText"/>
              <w:rPr>
                <w:rFonts w:cs="Arial"/>
                <w:b/>
              </w:rPr>
            </w:pPr>
          </w:p>
          <w:p w:rsidR="00C34B5E" w:rsidRDefault="00C34B5E" w:rsidP="002521FD">
            <w:pPr>
              <w:tabs>
                <w:tab w:val="left" w:pos="-720"/>
                <w:tab w:val="left" w:pos="0"/>
              </w:tabs>
              <w:suppressAutoHyphens/>
              <w:rPr>
                <w:rFonts w:cs="Arial"/>
                <w:szCs w:val="20"/>
              </w:rPr>
            </w:pPr>
            <w:r w:rsidRPr="00230881">
              <w:rPr>
                <w:rFonts w:cs="Arial"/>
                <w:szCs w:val="20"/>
              </w:rPr>
              <w:t>Create a purposefully built postgraduate executive programme for an audience of full-time professionals, by bringing together some of the existing courses on behavioural science offered at the LSE in</w:t>
            </w:r>
            <w:r>
              <w:rPr>
                <w:rFonts w:cs="Arial"/>
                <w:szCs w:val="20"/>
              </w:rPr>
              <w:t>to</w:t>
            </w:r>
            <w:r w:rsidRPr="00230881">
              <w:rPr>
                <w:rFonts w:cs="Arial"/>
                <w:szCs w:val="20"/>
              </w:rPr>
              <w:t xml:space="preserve"> a single Masters programme.</w:t>
            </w:r>
          </w:p>
          <w:p w:rsidR="00C34B5E" w:rsidRDefault="00C34B5E" w:rsidP="002521FD">
            <w:pPr>
              <w:tabs>
                <w:tab w:val="left" w:pos="-720"/>
                <w:tab w:val="left" w:pos="0"/>
              </w:tabs>
              <w:suppressAutoHyphens/>
              <w:rPr>
                <w:rFonts w:cs="Arial"/>
                <w:szCs w:val="20"/>
              </w:rPr>
            </w:pPr>
          </w:p>
          <w:p w:rsidR="00C34B5E" w:rsidRPr="00230881" w:rsidRDefault="00C34B5E" w:rsidP="002521FD">
            <w:pPr>
              <w:tabs>
                <w:tab w:val="left" w:pos="-720"/>
                <w:tab w:val="left" w:pos="0"/>
              </w:tabs>
              <w:suppressAutoHyphens/>
              <w:rPr>
                <w:rFonts w:cs="Arial"/>
                <w:szCs w:val="20"/>
              </w:rPr>
            </w:pPr>
            <w:r>
              <w:rPr>
                <w:rFonts w:cs="Arial"/>
                <w:szCs w:val="20"/>
              </w:rPr>
              <w:t>Provide high-quality teaching on the latest developments in behavioural science and its applications through a variety of key core courses.</w:t>
            </w:r>
          </w:p>
          <w:p w:rsidR="00C34B5E" w:rsidRPr="00230881" w:rsidRDefault="00C34B5E" w:rsidP="002521FD">
            <w:pPr>
              <w:tabs>
                <w:tab w:val="left" w:pos="-720"/>
                <w:tab w:val="left" w:pos="0"/>
              </w:tabs>
              <w:suppressAutoHyphens/>
              <w:rPr>
                <w:rFonts w:cs="Arial"/>
                <w:szCs w:val="20"/>
              </w:rPr>
            </w:pPr>
          </w:p>
          <w:p w:rsidR="00C34B5E" w:rsidRPr="00E05CC8" w:rsidRDefault="00C34B5E" w:rsidP="002521FD">
            <w:pPr>
              <w:tabs>
                <w:tab w:val="left" w:pos="-720"/>
                <w:tab w:val="left" w:pos="0"/>
              </w:tabs>
              <w:suppressAutoHyphens/>
              <w:rPr>
                <w:rFonts w:cs="Cambria"/>
                <w:sz w:val="24"/>
                <w:lang w:eastAsia="it-IT"/>
              </w:rPr>
            </w:pPr>
            <w:r>
              <w:rPr>
                <w:rFonts w:cs="Arial"/>
                <w:szCs w:val="20"/>
              </w:rPr>
              <w:t>Introduce or expand the use of behavioural science in the students’ working environments, and thus extend the boundaries of scientific knowledge by contributing towards the development of the science itself.</w:t>
            </w:r>
          </w:p>
          <w:p w:rsidR="00C34B5E" w:rsidRPr="00230881" w:rsidRDefault="00C34B5E" w:rsidP="002521FD">
            <w:pPr>
              <w:tabs>
                <w:tab w:val="left" w:pos="-720"/>
                <w:tab w:val="left" w:pos="0"/>
              </w:tabs>
              <w:suppressAutoHyphens/>
              <w:rPr>
                <w:rFonts w:cs="Arial"/>
                <w:szCs w:val="20"/>
              </w:rPr>
            </w:pPr>
          </w:p>
          <w:p w:rsidR="00C34B5E" w:rsidRPr="00230881" w:rsidRDefault="00C34B5E" w:rsidP="002521FD">
            <w:pPr>
              <w:tabs>
                <w:tab w:val="left" w:pos="-720"/>
                <w:tab w:val="left" w:pos="0"/>
              </w:tabs>
              <w:suppressAutoHyphens/>
              <w:rPr>
                <w:rFonts w:cs="Arial"/>
                <w:szCs w:val="20"/>
              </w:rPr>
            </w:pPr>
            <w:r w:rsidRPr="00230881">
              <w:rPr>
                <w:rFonts w:cs="Arial"/>
                <w:szCs w:val="20"/>
              </w:rPr>
              <w:t xml:space="preserve">Establish and maintain strong links between the LSE and </w:t>
            </w:r>
            <w:r>
              <w:rPr>
                <w:rFonts w:cs="Arial"/>
                <w:szCs w:val="20"/>
              </w:rPr>
              <w:t xml:space="preserve">the organisations within which students/graduates </w:t>
            </w:r>
            <w:r w:rsidRPr="00230881">
              <w:rPr>
                <w:rFonts w:cs="Arial"/>
                <w:szCs w:val="20"/>
              </w:rPr>
              <w:t>work.</w:t>
            </w:r>
          </w:p>
          <w:p w:rsidR="00C34B5E" w:rsidRPr="00AC001C" w:rsidRDefault="00C34B5E" w:rsidP="002521FD">
            <w:pPr>
              <w:tabs>
                <w:tab w:val="left" w:pos="-720"/>
                <w:tab w:val="left" w:pos="0"/>
              </w:tabs>
              <w:suppressAutoHyphens/>
              <w:rPr>
                <w:rFonts w:cs="Arial"/>
                <w:i/>
                <w:szCs w:val="20"/>
              </w:rPr>
            </w:pPr>
          </w:p>
        </w:tc>
      </w:tr>
    </w:tbl>
    <w:p w:rsidR="00C34B5E" w:rsidRPr="00AC001C" w:rsidRDefault="00C34B5E" w:rsidP="00C34B5E">
      <w:pPr>
        <w:rPr>
          <w:rFonts w:cs="Arial"/>
          <w:b/>
          <w:bCs/>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C34B5E" w:rsidRPr="00AC001C" w:rsidTr="002521FD">
        <w:tc>
          <w:tcPr>
            <w:tcW w:w="495" w:type="dxa"/>
            <w:shd w:val="pct10" w:color="auto" w:fill="auto"/>
          </w:tcPr>
          <w:p w:rsidR="00C34B5E" w:rsidRPr="00AC001C" w:rsidRDefault="00C34B5E" w:rsidP="002521FD">
            <w:pPr>
              <w:rPr>
                <w:rFonts w:cs="Arial"/>
                <w:b/>
                <w:bCs/>
                <w:szCs w:val="20"/>
              </w:rPr>
            </w:pPr>
            <w:r w:rsidRPr="00AC001C">
              <w:rPr>
                <w:rFonts w:cs="Arial"/>
                <w:b/>
                <w:bCs/>
                <w:szCs w:val="20"/>
              </w:rPr>
              <w:t xml:space="preserve">11. </w:t>
            </w:r>
          </w:p>
        </w:tc>
        <w:tc>
          <w:tcPr>
            <w:tcW w:w="8402" w:type="dxa"/>
            <w:shd w:val="pct10" w:color="auto" w:fill="auto"/>
          </w:tcPr>
          <w:p w:rsidR="00C34B5E" w:rsidRPr="00AC001C" w:rsidRDefault="00C34B5E" w:rsidP="002521FD">
            <w:pPr>
              <w:rPr>
                <w:rFonts w:cs="Arial"/>
                <w:b/>
                <w:bCs/>
                <w:szCs w:val="20"/>
              </w:rPr>
            </w:pPr>
            <w:r w:rsidRPr="00AC001C">
              <w:rPr>
                <w:rFonts w:cs="Arial"/>
                <w:b/>
                <w:bCs/>
                <w:szCs w:val="20"/>
              </w:rPr>
              <w:t>Programme outcomes: knowledge and understanding; skills and other attributes</w:t>
            </w:r>
          </w:p>
        </w:tc>
      </w:tr>
      <w:tr w:rsidR="00C34B5E" w:rsidRPr="00AC001C" w:rsidTr="002521FD">
        <w:tc>
          <w:tcPr>
            <w:tcW w:w="8897" w:type="dxa"/>
            <w:gridSpan w:val="2"/>
          </w:tcPr>
          <w:p w:rsidR="00C34B5E" w:rsidRDefault="00C34B5E" w:rsidP="002521FD">
            <w:pPr>
              <w:pStyle w:val="BodyText"/>
              <w:jc w:val="left"/>
              <w:rPr>
                <w:rFonts w:cs="Arial"/>
              </w:rPr>
            </w:pPr>
          </w:p>
          <w:p w:rsidR="00C34B5E" w:rsidRDefault="00C34B5E" w:rsidP="0047655F">
            <w:pPr>
              <w:pStyle w:val="BodyText"/>
              <w:jc w:val="left"/>
              <w:rPr>
                <w:rFonts w:cs="Arial"/>
              </w:rPr>
            </w:pPr>
            <w:r>
              <w:rPr>
                <w:rFonts w:cs="Arial"/>
              </w:rPr>
              <w:t>This MSc programme, offered in collaboration between the Departments of Social Policy and Management, allows students to obtain a well-rounded development of both the public and private sectors.</w:t>
            </w:r>
          </w:p>
          <w:p w:rsidR="00C34B5E" w:rsidRDefault="00C34B5E" w:rsidP="002521FD">
            <w:pPr>
              <w:pStyle w:val="BodyText"/>
              <w:ind w:left="709" w:hanging="709"/>
              <w:jc w:val="left"/>
              <w:rPr>
                <w:rFonts w:cs="Arial"/>
              </w:rPr>
            </w:pPr>
            <w:r>
              <w:rPr>
                <w:rFonts w:cs="Arial"/>
              </w:rPr>
              <w:t xml:space="preserve"> </w:t>
            </w:r>
          </w:p>
          <w:p w:rsidR="00C34B5E" w:rsidRPr="00A71877" w:rsidRDefault="00C34B5E" w:rsidP="0047655F">
            <w:pPr>
              <w:pStyle w:val="BodyText"/>
              <w:jc w:val="left"/>
              <w:rPr>
                <w:rFonts w:cs="Arial"/>
              </w:rPr>
            </w:pPr>
            <w:r w:rsidRPr="00A71877">
              <w:rPr>
                <w:rFonts w:cs="Arial"/>
              </w:rPr>
              <w:t xml:space="preserve">Students who have successfully completed the programme </w:t>
            </w:r>
            <w:r>
              <w:rPr>
                <w:rFonts w:cs="Arial"/>
              </w:rPr>
              <w:t>will</w:t>
            </w:r>
            <w:r w:rsidRPr="00A71877">
              <w:rPr>
                <w:rFonts w:cs="Arial"/>
              </w:rPr>
              <w:t xml:space="preserve"> be able to demonstrate the following:</w:t>
            </w:r>
          </w:p>
          <w:p w:rsidR="00C34B5E" w:rsidRDefault="00C34B5E" w:rsidP="002521FD">
            <w:pPr>
              <w:ind w:left="709" w:hanging="709"/>
              <w:jc w:val="both"/>
              <w:rPr>
                <w:rFonts w:cs="Arial"/>
                <w:color w:val="FF0000"/>
              </w:rPr>
            </w:pPr>
          </w:p>
          <w:p w:rsidR="00C34B5E" w:rsidRDefault="00C34B5E" w:rsidP="00C34B5E">
            <w:pPr>
              <w:numPr>
                <w:ilvl w:val="0"/>
                <w:numId w:val="5"/>
              </w:numPr>
              <w:rPr>
                <w:rFonts w:cs="Arial"/>
              </w:rPr>
            </w:pPr>
            <w:r>
              <w:rPr>
                <w:rFonts w:cs="Arial"/>
              </w:rPr>
              <w:t>Master</w:t>
            </w:r>
            <w:r>
              <w:t xml:space="preserve"> the key theories of behavioural science and their validity based on the latest available evidence</w:t>
            </w:r>
            <w:r>
              <w:rPr>
                <w:rFonts w:cs="Arial"/>
              </w:rPr>
              <w:t>;</w:t>
            </w:r>
          </w:p>
          <w:p w:rsidR="00C34B5E" w:rsidRDefault="00C34B5E" w:rsidP="00C34B5E">
            <w:pPr>
              <w:numPr>
                <w:ilvl w:val="0"/>
                <w:numId w:val="5"/>
              </w:numPr>
              <w:rPr>
                <w:rFonts w:cs="Arial"/>
              </w:rPr>
            </w:pPr>
            <w:r>
              <w:rPr>
                <w:rFonts w:cs="Arial"/>
              </w:rPr>
              <w:t xml:space="preserve">An ability to critically think about and assess (expected) outcomes of interventions/policies that either disregard or encompass a behavioural dimension within them;  </w:t>
            </w:r>
          </w:p>
          <w:p w:rsidR="00C34B5E" w:rsidRPr="00632E48" w:rsidRDefault="00C34B5E" w:rsidP="00C34B5E">
            <w:pPr>
              <w:numPr>
                <w:ilvl w:val="0"/>
                <w:numId w:val="5"/>
              </w:numPr>
              <w:rPr>
                <w:rFonts w:cs="Arial"/>
              </w:rPr>
            </w:pPr>
            <w:r>
              <w:t>An understanding of the methods and techniques required in formulating, implementing and evaluating behavioural interventions.</w:t>
            </w:r>
          </w:p>
          <w:p w:rsidR="00C34B5E" w:rsidRPr="00F4555A" w:rsidRDefault="00C34B5E" w:rsidP="00C34B5E">
            <w:pPr>
              <w:numPr>
                <w:ilvl w:val="0"/>
                <w:numId w:val="5"/>
              </w:numPr>
              <w:rPr>
                <w:rFonts w:cs="Arial"/>
              </w:rPr>
            </w:pPr>
            <w:r>
              <w:rPr>
                <w:rFonts w:cs="Arial"/>
              </w:rPr>
              <w:t>A thorough grounding in key behavioural sub-disciplines;</w:t>
            </w:r>
          </w:p>
          <w:p w:rsidR="00C34B5E" w:rsidRDefault="00C34B5E" w:rsidP="00C34B5E">
            <w:pPr>
              <w:numPr>
                <w:ilvl w:val="0"/>
                <w:numId w:val="5"/>
              </w:numPr>
              <w:jc w:val="both"/>
              <w:rPr>
                <w:rFonts w:cs="Arial"/>
              </w:rPr>
            </w:pPr>
            <w:r>
              <w:rPr>
                <w:rFonts w:cs="Arial"/>
              </w:rPr>
              <w:t>Strong communications skills, both written and oral.</w:t>
            </w:r>
          </w:p>
          <w:p w:rsidR="00C34B5E" w:rsidRPr="00F20F67" w:rsidRDefault="00C34B5E" w:rsidP="00C34B5E">
            <w:pPr>
              <w:numPr>
                <w:ilvl w:val="0"/>
                <w:numId w:val="5"/>
              </w:numPr>
              <w:jc w:val="both"/>
              <w:rPr>
                <w:rFonts w:cs="Arial"/>
              </w:rPr>
            </w:pPr>
            <w:r>
              <w:t xml:space="preserve">An ability to conduct an independent research project of their own choosing, and thus develop the research and time management skills requisite for completing such an assignment.  </w:t>
            </w:r>
          </w:p>
          <w:p w:rsidR="00C34B5E" w:rsidRPr="00AC001C" w:rsidRDefault="00C34B5E" w:rsidP="002521FD">
            <w:pPr>
              <w:tabs>
                <w:tab w:val="left" w:pos="-720"/>
                <w:tab w:val="left" w:pos="0"/>
              </w:tabs>
              <w:suppressAutoHyphens/>
              <w:rPr>
                <w:rFonts w:cs="Arial"/>
                <w:b/>
              </w:rPr>
            </w:pPr>
          </w:p>
        </w:tc>
      </w:tr>
    </w:tbl>
    <w:p w:rsidR="00C34B5E" w:rsidRPr="00AC001C" w:rsidRDefault="00C34B5E" w:rsidP="00C34B5E">
      <w:pPr>
        <w:rPr>
          <w:rFonts w:cs="Arial"/>
          <w:b/>
          <w:bCs/>
          <w:szCs w:val="20"/>
        </w:rPr>
      </w:pPr>
    </w:p>
    <w:p w:rsidR="0047655F" w:rsidRDefault="0047655F">
      <w:r>
        <w:br w:type="page"/>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C34B5E" w:rsidRPr="00AC001C" w:rsidTr="002521FD">
        <w:tc>
          <w:tcPr>
            <w:tcW w:w="495" w:type="dxa"/>
            <w:shd w:val="pct10" w:color="auto" w:fill="auto"/>
          </w:tcPr>
          <w:p w:rsidR="00C34B5E" w:rsidRPr="00B85849" w:rsidRDefault="00C34B5E" w:rsidP="002521FD">
            <w:pPr>
              <w:rPr>
                <w:rFonts w:cs="Arial"/>
                <w:b/>
                <w:bCs/>
                <w:szCs w:val="20"/>
              </w:rPr>
            </w:pPr>
            <w:r w:rsidRPr="00B85849">
              <w:rPr>
                <w:rFonts w:cs="Arial"/>
                <w:b/>
                <w:bCs/>
                <w:szCs w:val="20"/>
              </w:rPr>
              <w:lastRenderedPageBreak/>
              <w:t xml:space="preserve">12. </w:t>
            </w:r>
          </w:p>
        </w:tc>
        <w:tc>
          <w:tcPr>
            <w:tcW w:w="8402" w:type="dxa"/>
            <w:shd w:val="pct10" w:color="auto" w:fill="auto"/>
          </w:tcPr>
          <w:p w:rsidR="00C34B5E" w:rsidRPr="00AC001C" w:rsidRDefault="00C34B5E" w:rsidP="002521FD">
            <w:pPr>
              <w:rPr>
                <w:rFonts w:cs="Arial"/>
                <w:b/>
                <w:bCs/>
                <w:szCs w:val="20"/>
              </w:rPr>
            </w:pPr>
            <w:r w:rsidRPr="00B85849">
              <w:rPr>
                <w:rFonts w:cs="Arial"/>
                <w:b/>
                <w:bCs/>
                <w:szCs w:val="20"/>
              </w:rPr>
              <w:t>Teaching, learning and assessment strategies to enable outcomes to be achieved and demonstrated</w:t>
            </w:r>
          </w:p>
        </w:tc>
      </w:tr>
      <w:tr w:rsidR="00C34B5E" w:rsidRPr="00AC001C" w:rsidTr="002521FD">
        <w:tc>
          <w:tcPr>
            <w:tcW w:w="8897" w:type="dxa"/>
            <w:gridSpan w:val="2"/>
          </w:tcPr>
          <w:p w:rsidR="00C34B5E" w:rsidRDefault="00C34B5E" w:rsidP="0047655F">
            <w:pPr>
              <w:tabs>
                <w:tab w:val="left" w:pos="-720"/>
              </w:tabs>
              <w:suppressAutoHyphens/>
              <w:rPr>
                <w:rFonts w:cs="Arial"/>
                <w:bCs/>
                <w:i/>
                <w:iCs/>
                <w:spacing w:val="-2"/>
                <w:szCs w:val="20"/>
              </w:rPr>
            </w:pPr>
          </w:p>
          <w:p w:rsidR="00C34B5E" w:rsidRPr="00AC001C" w:rsidRDefault="00C34B5E" w:rsidP="002521FD">
            <w:pPr>
              <w:tabs>
                <w:tab w:val="left" w:pos="-720"/>
              </w:tabs>
              <w:suppressAutoHyphens/>
              <w:spacing w:before="90"/>
              <w:rPr>
                <w:rFonts w:cs="Arial"/>
                <w:b/>
                <w:bCs/>
                <w:spacing w:val="-2"/>
                <w:szCs w:val="20"/>
              </w:rPr>
            </w:pPr>
            <w:r w:rsidRPr="00AC001C">
              <w:rPr>
                <w:rFonts w:cs="Arial"/>
                <w:b/>
                <w:bCs/>
                <w:iCs/>
                <w:spacing w:val="-2"/>
                <w:szCs w:val="20"/>
              </w:rPr>
              <w:t>Teaching and learning strategies</w:t>
            </w:r>
            <w:r w:rsidRPr="00AC001C">
              <w:rPr>
                <w:rFonts w:cs="Arial"/>
                <w:b/>
                <w:bCs/>
                <w:spacing w:val="-2"/>
                <w:szCs w:val="20"/>
              </w:rPr>
              <w:t>:</w:t>
            </w:r>
          </w:p>
          <w:p w:rsidR="00C34B5E" w:rsidRDefault="00C34B5E" w:rsidP="002521FD">
            <w:pPr>
              <w:rPr>
                <w:rFonts w:cs="Arial"/>
                <w:szCs w:val="22"/>
              </w:rPr>
            </w:pPr>
            <w:r>
              <w:rPr>
                <w:rFonts w:cs="Arial"/>
                <w:szCs w:val="22"/>
              </w:rPr>
              <w:t>Various teaching, learning and assessment strategies are used to ensure the outcomes above are achieved, including lectures, seminars, and self-directed study;</w:t>
            </w:r>
          </w:p>
          <w:p w:rsidR="00C34B5E" w:rsidRDefault="00C34B5E" w:rsidP="00C34B5E">
            <w:pPr>
              <w:numPr>
                <w:ilvl w:val="0"/>
                <w:numId w:val="2"/>
              </w:numPr>
              <w:rPr>
                <w:rFonts w:cs="Arial"/>
                <w:szCs w:val="22"/>
              </w:rPr>
            </w:pPr>
            <w:r>
              <w:rPr>
                <w:rFonts w:cs="Arial"/>
                <w:szCs w:val="22"/>
              </w:rPr>
              <w:t>Lecture formats are varied, including both traditional formats, audio visual and electronic presentations;</w:t>
            </w:r>
          </w:p>
          <w:p w:rsidR="00C34B5E" w:rsidRDefault="00C34B5E" w:rsidP="00C34B5E">
            <w:pPr>
              <w:numPr>
                <w:ilvl w:val="0"/>
                <w:numId w:val="2"/>
              </w:numPr>
              <w:rPr>
                <w:rFonts w:cs="Arial"/>
                <w:szCs w:val="22"/>
              </w:rPr>
            </w:pPr>
            <w:r>
              <w:rPr>
                <w:rFonts w:cs="Arial"/>
                <w:szCs w:val="22"/>
              </w:rPr>
              <w:t>Seminars are interactive and usually organised around themes for discussion or readings; these aim to deepen and consolidate knowledge and develop critical awareness and communication skills;</w:t>
            </w:r>
          </w:p>
          <w:p w:rsidR="00C34B5E" w:rsidRDefault="00C34B5E" w:rsidP="00C34B5E">
            <w:pPr>
              <w:numPr>
                <w:ilvl w:val="0"/>
                <w:numId w:val="2"/>
              </w:numPr>
              <w:rPr>
                <w:rFonts w:cs="Arial"/>
                <w:szCs w:val="22"/>
              </w:rPr>
            </w:pPr>
            <w:r w:rsidRPr="00A10C1A">
              <w:rPr>
                <w:rFonts w:cs="Arial"/>
                <w:szCs w:val="22"/>
              </w:rPr>
              <w:t>Where applicable, some seminars involve</w:t>
            </w:r>
            <w:r>
              <w:rPr>
                <w:rFonts w:cs="Arial"/>
                <w:szCs w:val="22"/>
              </w:rPr>
              <w:t xml:space="preserve"> student presentations and</w:t>
            </w:r>
            <w:r w:rsidRPr="00A10C1A">
              <w:rPr>
                <w:rFonts w:cs="Arial"/>
                <w:szCs w:val="22"/>
              </w:rPr>
              <w:t xml:space="preserve"> the discussion of problem sets</w:t>
            </w:r>
            <w:r>
              <w:rPr>
                <w:rFonts w:cs="Arial"/>
                <w:szCs w:val="22"/>
              </w:rPr>
              <w:t>.</w:t>
            </w:r>
          </w:p>
          <w:p w:rsidR="00C34B5E" w:rsidRDefault="00C34B5E" w:rsidP="002521FD">
            <w:pPr>
              <w:rPr>
                <w:rFonts w:cs="Arial"/>
                <w:szCs w:val="22"/>
              </w:rPr>
            </w:pPr>
          </w:p>
          <w:p w:rsidR="00C34B5E" w:rsidRPr="00A10C1A" w:rsidRDefault="00C34B5E" w:rsidP="002521FD">
            <w:pPr>
              <w:rPr>
                <w:rFonts w:cs="Arial"/>
                <w:szCs w:val="22"/>
              </w:rPr>
            </w:pPr>
            <w:r>
              <w:rPr>
                <w:rFonts w:cs="Arial"/>
                <w:szCs w:val="22"/>
              </w:rPr>
              <w:t xml:space="preserve">All module materials will be made available in Moodle. We have held discussions with Steven Ryan (CLT) regarding this programme – e.g. our discussions involve around the provision of online (virtual) office hours for academics teaching in this programme, which will be able to be supported in the new version of Moodle – and we will be continuing these discussions post-GSSC approval. </w:t>
            </w:r>
          </w:p>
          <w:p w:rsidR="00C34B5E" w:rsidRPr="00AC001C" w:rsidRDefault="00C34B5E" w:rsidP="002521FD">
            <w:pPr>
              <w:tabs>
                <w:tab w:val="left" w:pos="-720"/>
              </w:tabs>
              <w:suppressAutoHyphens/>
              <w:rPr>
                <w:rFonts w:cs="Arial"/>
                <w:spacing w:val="-2"/>
                <w:szCs w:val="20"/>
              </w:rPr>
            </w:pPr>
          </w:p>
          <w:p w:rsidR="00C34B5E" w:rsidRDefault="00C34B5E" w:rsidP="0047655F">
            <w:pPr>
              <w:tabs>
                <w:tab w:val="left" w:pos="-720"/>
              </w:tabs>
              <w:suppressAutoHyphens/>
              <w:rPr>
                <w:rFonts w:cs="Arial"/>
                <w:szCs w:val="22"/>
              </w:rPr>
            </w:pPr>
            <w:r w:rsidRPr="005C4EE7">
              <w:rPr>
                <w:rFonts w:cs="Arial"/>
                <w:b/>
                <w:bCs/>
                <w:iCs/>
                <w:spacing w:val="-2"/>
                <w:szCs w:val="20"/>
              </w:rPr>
              <w:t>Assessment strategies</w:t>
            </w:r>
            <w:r>
              <w:rPr>
                <w:rFonts w:cs="Arial"/>
                <w:b/>
                <w:bCs/>
                <w:iCs/>
                <w:spacing w:val="-2"/>
                <w:szCs w:val="20"/>
              </w:rPr>
              <w:t xml:space="preserve"> include</w:t>
            </w:r>
            <w:r w:rsidRPr="005C4EE7">
              <w:rPr>
                <w:rFonts w:cs="Arial"/>
                <w:b/>
                <w:bCs/>
                <w:spacing w:val="-2"/>
                <w:szCs w:val="20"/>
              </w:rPr>
              <w:t>:</w:t>
            </w:r>
            <w:r w:rsidR="0047655F">
              <w:rPr>
                <w:rFonts w:cs="Arial"/>
                <w:b/>
                <w:bCs/>
                <w:spacing w:val="-2"/>
                <w:szCs w:val="20"/>
              </w:rPr>
              <w:t xml:space="preserve">  </w:t>
            </w:r>
            <w:r>
              <w:rPr>
                <w:rFonts w:cs="Arial"/>
                <w:szCs w:val="22"/>
              </w:rPr>
              <w:t>Formative essays</w:t>
            </w:r>
            <w:r w:rsidR="0047655F">
              <w:rPr>
                <w:rFonts w:cs="Arial"/>
                <w:szCs w:val="22"/>
              </w:rPr>
              <w:t xml:space="preserve">, </w:t>
            </w:r>
            <w:r>
              <w:rPr>
                <w:rFonts w:cs="Arial"/>
                <w:szCs w:val="22"/>
              </w:rPr>
              <w:t>Summative essays</w:t>
            </w:r>
            <w:r w:rsidR="0047655F">
              <w:rPr>
                <w:rFonts w:cs="Arial"/>
                <w:szCs w:val="22"/>
              </w:rPr>
              <w:t xml:space="preserve">, </w:t>
            </w:r>
            <w:r>
              <w:rPr>
                <w:rFonts w:cs="Arial"/>
                <w:szCs w:val="22"/>
              </w:rPr>
              <w:t>Examinations</w:t>
            </w:r>
            <w:r w:rsidR="0047655F">
              <w:rPr>
                <w:rFonts w:cs="Arial"/>
                <w:szCs w:val="22"/>
              </w:rPr>
              <w:t xml:space="preserve"> and </w:t>
            </w:r>
            <w:r>
              <w:rPr>
                <w:rFonts w:cs="Arial"/>
                <w:szCs w:val="22"/>
              </w:rPr>
              <w:t>Dissertation</w:t>
            </w:r>
          </w:p>
          <w:p w:rsidR="00C34B5E" w:rsidRPr="00AC001C" w:rsidRDefault="00C34B5E" w:rsidP="002521FD">
            <w:pPr>
              <w:rPr>
                <w:rFonts w:cs="Arial"/>
                <w:szCs w:val="20"/>
              </w:rPr>
            </w:pPr>
          </w:p>
        </w:tc>
      </w:tr>
    </w:tbl>
    <w:p w:rsidR="00C34B5E" w:rsidRPr="00AC001C" w:rsidRDefault="00C34B5E" w:rsidP="00C34B5E">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C34B5E" w:rsidRPr="00AC001C" w:rsidTr="002521FD">
        <w:tc>
          <w:tcPr>
            <w:tcW w:w="495" w:type="dxa"/>
            <w:shd w:val="pct10" w:color="auto" w:fill="auto"/>
          </w:tcPr>
          <w:p w:rsidR="00C34B5E" w:rsidRPr="005C4EE7" w:rsidRDefault="00C34B5E" w:rsidP="002521FD">
            <w:pPr>
              <w:rPr>
                <w:rFonts w:cs="Arial"/>
                <w:b/>
                <w:bCs/>
                <w:szCs w:val="20"/>
              </w:rPr>
            </w:pPr>
            <w:r w:rsidRPr="005C4EE7">
              <w:rPr>
                <w:rFonts w:cs="Arial"/>
                <w:b/>
                <w:bCs/>
                <w:szCs w:val="20"/>
              </w:rPr>
              <w:t xml:space="preserve">13. </w:t>
            </w:r>
          </w:p>
        </w:tc>
        <w:tc>
          <w:tcPr>
            <w:tcW w:w="8402" w:type="dxa"/>
            <w:shd w:val="pct10" w:color="auto" w:fill="auto"/>
          </w:tcPr>
          <w:p w:rsidR="00C34B5E" w:rsidRPr="00AC001C" w:rsidRDefault="00C34B5E" w:rsidP="002521FD">
            <w:pPr>
              <w:rPr>
                <w:rFonts w:cs="Arial"/>
                <w:b/>
                <w:bCs/>
                <w:szCs w:val="20"/>
              </w:rPr>
            </w:pPr>
            <w:r w:rsidRPr="005C4EE7">
              <w:rPr>
                <w:rFonts w:cs="Arial"/>
                <w:b/>
                <w:bCs/>
                <w:szCs w:val="20"/>
              </w:rPr>
              <w:t>Programme structures and requirements, levels, modules and awards</w:t>
            </w:r>
          </w:p>
        </w:tc>
      </w:tr>
      <w:tr w:rsidR="00C34B5E" w:rsidRPr="00AC001C" w:rsidTr="002521FD">
        <w:tc>
          <w:tcPr>
            <w:tcW w:w="8897" w:type="dxa"/>
            <w:gridSpan w:val="2"/>
          </w:tcPr>
          <w:p w:rsidR="00C34B5E" w:rsidRDefault="00C34B5E" w:rsidP="0047655F">
            <w:pPr>
              <w:pStyle w:val="NormalWeb"/>
              <w:spacing w:before="0" w:beforeAutospacing="0" w:after="0" w:afterAutospacing="0"/>
              <w:rPr>
                <w:rFonts w:ascii="Arial" w:hAnsi="Arial" w:cs="Arial"/>
                <w:sz w:val="20"/>
                <w:szCs w:val="20"/>
              </w:rPr>
            </w:pPr>
          </w:p>
          <w:p w:rsidR="0047655F" w:rsidRDefault="002A5A90" w:rsidP="0047655F">
            <w:pPr>
              <w:pStyle w:val="NormalWeb"/>
              <w:spacing w:before="0" w:beforeAutospacing="0" w:after="0" w:afterAutospacing="0"/>
              <w:rPr>
                <w:rFonts w:ascii="Arial" w:hAnsi="Arial" w:cs="Arial"/>
                <w:sz w:val="20"/>
                <w:szCs w:val="20"/>
              </w:rPr>
            </w:pPr>
            <w:hyperlink r:id="rId6" w:history="1">
              <w:r w:rsidR="0047655F" w:rsidRPr="0047655F">
                <w:rPr>
                  <w:rStyle w:val="Hyperlink"/>
                  <w:rFonts w:ascii="Arial" w:hAnsi="Arial" w:cs="Arial"/>
                  <w:sz w:val="20"/>
                  <w:szCs w:val="20"/>
                </w:rPr>
                <w:t>Executive MSc in Behavioural Science</w:t>
              </w:r>
            </w:hyperlink>
          </w:p>
          <w:p w:rsidR="0047655F" w:rsidRPr="0047655F" w:rsidRDefault="0047655F" w:rsidP="0047655F">
            <w:pPr>
              <w:pStyle w:val="NormalWeb"/>
              <w:spacing w:before="0" w:beforeAutospacing="0" w:after="0" w:afterAutospacing="0"/>
              <w:rPr>
                <w:rFonts w:ascii="Arial" w:hAnsi="Arial" w:cs="Arial"/>
                <w:sz w:val="20"/>
                <w:szCs w:val="20"/>
              </w:rPr>
            </w:pPr>
          </w:p>
        </w:tc>
      </w:tr>
    </w:tbl>
    <w:p w:rsidR="00C34B5E" w:rsidRPr="00AC001C" w:rsidRDefault="00C34B5E" w:rsidP="00C34B5E">
      <w:pPr>
        <w:rPr>
          <w:rFonts w:cs="Arial"/>
          <w:b/>
          <w:bCs/>
          <w:szCs w:val="20"/>
        </w:rPr>
      </w:pPr>
    </w:p>
    <w:p w:rsidR="00C34B5E" w:rsidRPr="00AC001C" w:rsidRDefault="00C34B5E" w:rsidP="00C34B5E">
      <w:pPr>
        <w:rPr>
          <w:rFonts w:cs="Arial"/>
          <w:b/>
          <w:bCs/>
          <w:szCs w:val="20"/>
        </w:rPr>
      </w:pPr>
      <w:r w:rsidRPr="00AC001C">
        <w:rPr>
          <w:rFonts w:cs="Arial"/>
          <w:b/>
          <w:bCs/>
          <w:szCs w:val="20"/>
        </w:rPr>
        <w:t>Additional information</w:t>
      </w:r>
    </w:p>
    <w:p w:rsidR="00C34B5E" w:rsidRPr="00AC001C" w:rsidRDefault="00C34B5E" w:rsidP="00C34B5E">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C34B5E" w:rsidRPr="00AC001C" w:rsidTr="002521FD">
        <w:tc>
          <w:tcPr>
            <w:tcW w:w="495" w:type="dxa"/>
            <w:shd w:val="pct10" w:color="auto" w:fill="auto"/>
          </w:tcPr>
          <w:p w:rsidR="00C34B5E" w:rsidRPr="002A61DB" w:rsidRDefault="00C34B5E" w:rsidP="002521FD">
            <w:pPr>
              <w:rPr>
                <w:rFonts w:cs="Arial"/>
                <w:b/>
                <w:bCs/>
                <w:szCs w:val="20"/>
              </w:rPr>
            </w:pPr>
            <w:r w:rsidRPr="002A61DB">
              <w:rPr>
                <w:rFonts w:cs="Arial"/>
                <w:b/>
                <w:bCs/>
                <w:szCs w:val="20"/>
              </w:rPr>
              <w:t xml:space="preserve">14. </w:t>
            </w:r>
          </w:p>
        </w:tc>
        <w:tc>
          <w:tcPr>
            <w:tcW w:w="8402" w:type="dxa"/>
            <w:shd w:val="pct10" w:color="auto" w:fill="auto"/>
          </w:tcPr>
          <w:p w:rsidR="00C34B5E" w:rsidRPr="00AC001C" w:rsidRDefault="00C34B5E" w:rsidP="002521FD">
            <w:pPr>
              <w:rPr>
                <w:rFonts w:cs="Arial"/>
                <w:b/>
                <w:bCs/>
                <w:szCs w:val="20"/>
              </w:rPr>
            </w:pPr>
            <w:r w:rsidRPr="002A61DB">
              <w:rPr>
                <w:rFonts w:cs="Arial"/>
                <w:b/>
                <w:bCs/>
                <w:szCs w:val="20"/>
              </w:rPr>
              <w:t>Criteria for admission to the programme</w:t>
            </w:r>
          </w:p>
        </w:tc>
      </w:tr>
      <w:tr w:rsidR="00C34B5E" w:rsidRPr="00AC001C" w:rsidTr="002521FD">
        <w:tc>
          <w:tcPr>
            <w:tcW w:w="8897" w:type="dxa"/>
            <w:gridSpan w:val="2"/>
          </w:tcPr>
          <w:p w:rsidR="00C34B5E" w:rsidRDefault="00C34B5E" w:rsidP="002521FD">
            <w:pPr>
              <w:tabs>
                <w:tab w:val="left" w:pos="-720"/>
                <w:tab w:val="left" w:pos="0"/>
              </w:tabs>
              <w:suppressAutoHyphens/>
              <w:jc w:val="both"/>
              <w:rPr>
                <w:rFonts w:cs="Arial"/>
                <w:szCs w:val="20"/>
              </w:rPr>
            </w:pPr>
          </w:p>
          <w:p w:rsidR="00C34B5E" w:rsidRPr="00287C8B" w:rsidRDefault="00C34B5E" w:rsidP="002521FD">
            <w:r w:rsidRPr="00287C8B">
              <w:t>- M</w:t>
            </w:r>
            <w:r>
              <w:t>inimum of Undergraduate degree with upper second-class (</w:t>
            </w:r>
            <w:r w:rsidRPr="00287C8B">
              <w:t>2:1</w:t>
            </w:r>
            <w:r>
              <w:t xml:space="preserve">), or equivalent, in any discipline – e.g. </w:t>
            </w:r>
            <w:r>
              <w:rPr>
                <w:rFonts w:cs="Arial"/>
                <w:szCs w:val="20"/>
              </w:rPr>
              <w:t>management, medicine, social sciences (e.g. economics, psychology, sociology), government/political studies, environmental studies</w:t>
            </w:r>
            <w:r>
              <w:rPr>
                <w:rFonts w:cs="Arial"/>
                <w:szCs w:val="20"/>
              </w:rPr>
              <w:br/>
            </w:r>
          </w:p>
          <w:p w:rsidR="00C34B5E" w:rsidRDefault="00C34B5E" w:rsidP="002521FD">
            <w:r w:rsidRPr="00287C8B">
              <w:t xml:space="preserve">- </w:t>
            </w:r>
            <w:r>
              <w:t xml:space="preserve">Applicants whose first language is not English, or who have not been educated at degree level entirely in English, are require </w:t>
            </w:r>
            <w:proofErr w:type="gramStart"/>
            <w:r>
              <w:t>to provide</w:t>
            </w:r>
            <w:proofErr w:type="gramEnd"/>
            <w:r>
              <w:t xml:space="preserve"> evidence of English language ability. The most common qualifications are the IELTS or TOEFL tests. Applicants do not need to have the required marks when they apply, but they would form a condition of any offer issued, and would have to be achieved before arrival at LSE</w:t>
            </w:r>
            <w:r w:rsidRPr="00287C8B">
              <w:t>.</w:t>
            </w:r>
            <w:r>
              <w:t xml:space="preserve"> Higher English requirement: 7.0 in IELTS (at least 6.0 in each section) or 107 in the internet-based TOEFL test (at least 21 in writing and 20 in all other sections).</w:t>
            </w:r>
          </w:p>
          <w:p w:rsidR="00C34B5E" w:rsidRDefault="00C34B5E" w:rsidP="002521FD"/>
          <w:p w:rsidR="00C34B5E" w:rsidRDefault="00C34B5E" w:rsidP="002521FD">
            <w:r w:rsidRPr="00287C8B">
              <w:t xml:space="preserve">- </w:t>
            </w:r>
            <w:r>
              <w:t xml:space="preserve">Significant </w:t>
            </w:r>
            <w:r w:rsidRPr="00287C8B">
              <w:t>work</w:t>
            </w:r>
            <w:r>
              <w:t xml:space="preserve"> experience of 3 years minimum (applicants should complete the CV section of the application form as a documentary requirement to assess their work experience).</w:t>
            </w:r>
          </w:p>
          <w:p w:rsidR="00C34B5E" w:rsidRDefault="00C34B5E" w:rsidP="002521FD"/>
          <w:p w:rsidR="00C34B5E" w:rsidRDefault="00C34B5E" w:rsidP="002521FD">
            <w:r>
              <w:t>- Two references to accompany the application. At least one of these should be an academic reference, but given the executive nature and discussions with the Admissions Office, we will also be accepting two professional references.</w:t>
            </w:r>
          </w:p>
          <w:p w:rsidR="00C34B5E" w:rsidRDefault="00C34B5E" w:rsidP="002521FD"/>
          <w:p w:rsidR="00C34B5E" w:rsidRPr="002A61DB" w:rsidRDefault="00C34B5E" w:rsidP="002521FD">
            <w:r>
              <w:t>- For overseas students, successful registration to the programme will be subject to Visa regulations.</w:t>
            </w:r>
            <w:r w:rsidRPr="00916BFC">
              <w:rPr>
                <w:bCs/>
              </w:rPr>
              <w:t xml:space="preserve"> </w:t>
            </w:r>
            <w:r>
              <w:t>As a</w:t>
            </w:r>
            <w:r w:rsidRPr="00916BFC">
              <w:t xml:space="preserve"> Master</w:t>
            </w:r>
            <w:r>
              <w:t>’s student</w:t>
            </w:r>
            <w:r w:rsidRPr="00916BFC">
              <w:t xml:space="preserve"> </w:t>
            </w:r>
            <w:r>
              <w:t>coming</w:t>
            </w:r>
            <w:r w:rsidRPr="00916BFC">
              <w:t xml:space="preserve"> to the</w:t>
            </w:r>
            <w:r>
              <w:t xml:space="preserve"> UK for short periods of study, students </w:t>
            </w:r>
            <w:r w:rsidRPr="00916BFC">
              <w:t>are not e</w:t>
            </w:r>
            <w:r>
              <w:t>ligible for Tier 4 Student visa</w:t>
            </w:r>
            <w:r w:rsidRPr="00916BFC">
              <w:t xml:space="preserve"> and the majority of students </w:t>
            </w:r>
            <w:r>
              <w:t>will apply for a ‘Student Visitor Visa</w:t>
            </w:r>
            <w:r w:rsidRPr="00916BFC">
              <w:t xml:space="preserve">’.  If </w:t>
            </w:r>
            <w:r>
              <w:t>students</w:t>
            </w:r>
            <w:r w:rsidRPr="00916BFC">
              <w:t xml:space="preserve"> are already in the UK with working permission, </w:t>
            </w:r>
            <w:r>
              <w:t>they</w:t>
            </w:r>
            <w:r w:rsidRPr="00916BFC">
              <w:t xml:space="preserve"> will </w:t>
            </w:r>
            <w:r>
              <w:t xml:space="preserve">be permitted to study. </w:t>
            </w:r>
            <w:r w:rsidRPr="00916BFC">
              <w:t>General Visitors and Business Visitors are prohibited from studying in the UK.</w:t>
            </w:r>
          </w:p>
          <w:p w:rsidR="00C34B5E" w:rsidRPr="00401D76" w:rsidRDefault="00C34B5E" w:rsidP="002521FD">
            <w:pPr>
              <w:tabs>
                <w:tab w:val="left" w:pos="-720"/>
                <w:tab w:val="left" w:pos="0"/>
              </w:tabs>
              <w:suppressAutoHyphens/>
              <w:jc w:val="both"/>
              <w:rPr>
                <w:rFonts w:cs="Arial"/>
                <w:i/>
                <w:spacing w:val="-2"/>
                <w:szCs w:val="20"/>
              </w:rPr>
            </w:pPr>
          </w:p>
        </w:tc>
      </w:tr>
    </w:tbl>
    <w:p w:rsidR="00C34B5E" w:rsidRPr="00AC001C" w:rsidRDefault="00C34B5E" w:rsidP="00C34B5E">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C34B5E" w:rsidRPr="00AC001C" w:rsidTr="002521FD">
        <w:tc>
          <w:tcPr>
            <w:tcW w:w="495" w:type="dxa"/>
            <w:shd w:val="pct10" w:color="auto" w:fill="auto"/>
          </w:tcPr>
          <w:p w:rsidR="00C34B5E" w:rsidRPr="00AC001C" w:rsidRDefault="00C34B5E" w:rsidP="002521FD">
            <w:pPr>
              <w:rPr>
                <w:rFonts w:cs="Arial"/>
                <w:b/>
                <w:bCs/>
                <w:szCs w:val="20"/>
              </w:rPr>
            </w:pPr>
            <w:r w:rsidRPr="00AC001C">
              <w:rPr>
                <w:rFonts w:cs="Arial"/>
                <w:b/>
                <w:bCs/>
                <w:szCs w:val="20"/>
              </w:rPr>
              <w:lastRenderedPageBreak/>
              <w:t xml:space="preserve">15. </w:t>
            </w:r>
          </w:p>
        </w:tc>
        <w:tc>
          <w:tcPr>
            <w:tcW w:w="8402" w:type="dxa"/>
            <w:shd w:val="pct10" w:color="auto" w:fill="auto"/>
          </w:tcPr>
          <w:p w:rsidR="00C34B5E" w:rsidRPr="00AC001C" w:rsidRDefault="00C34B5E" w:rsidP="002521FD">
            <w:pPr>
              <w:rPr>
                <w:rFonts w:cs="Arial"/>
                <w:b/>
                <w:bCs/>
                <w:szCs w:val="20"/>
              </w:rPr>
            </w:pPr>
            <w:r w:rsidRPr="00AC001C">
              <w:rPr>
                <w:rFonts w:cs="Arial"/>
                <w:b/>
                <w:bCs/>
                <w:szCs w:val="20"/>
              </w:rPr>
              <w:t>Indicators of quality</w:t>
            </w:r>
          </w:p>
        </w:tc>
      </w:tr>
      <w:tr w:rsidR="00C34B5E" w:rsidRPr="00AC001C" w:rsidTr="002521FD">
        <w:tc>
          <w:tcPr>
            <w:tcW w:w="8897" w:type="dxa"/>
            <w:gridSpan w:val="2"/>
          </w:tcPr>
          <w:p w:rsidR="00C34B5E" w:rsidRDefault="00C34B5E" w:rsidP="002521FD">
            <w:pPr>
              <w:rPr>
                <w:rFonts w:cs="Arial"/>
                <w:i/>
                <w:szCs w:val="20"/>
              </w:rPr>
            </w:pPr>
          </w:p>
          <w:p w:rsidR="00C34B5E" w:rsidRDefault="00C34B5E" w:rsidP="002521FD">
            <w:pPr>
              <w:rPr>
                <w:rFonts w:cs="Arial"/>
                <w:szCs w:val="20"/>
              </w:rPr>
            </w:pPr>
            <w:r>
              <w:rPr>
                <w:rFonts w:cs="Arial"/>
                <w:szCs w:val="20"/>
              </w:rPr>
              <w:t>The first intake of the programme begins in 2014-15. Indicators of quality will include:</w:t>
            </w:r>
          </w:p>
          <w:p w:rsidR="00C34B5E" w:rsidRPr="009D0EEA" w:rsidRDefault="00C34B5E" w:rsidP="00C34B5E">
            <w:pPr>
              <w:numPr>
                <w:ilvl w:val="0"/>
                <w:numId w:val="1"/>
              </w:numPr>
              <w:rPr>
                <w:rFonts w:cs="Arial"/>
                <w:szCs w:val="20"/>
              </w:rPr>
            </w:pPr>
            <w:r>
              <w:rPr>
                <w:rFonts w:cs="Arial"/>
                <w:szCs w:val="20"/>
              </w:rPr>
              <w:t>High application numbers in relation to intake target number</w:t>
            </w:r>
            <w:r w:rsidRPr="009D0EEA">
              <w:rPr>
                <w:rFonts w:cs="Arial"/>
                <w:bCs/>
                <w:szCs w:val="22"/>
              </w:rPr>
              <w:t>;</w:t>
            </w:r>
          </w:p>
          <w:p w:rsidR="00C34B5E" w:rsidRDefault="00C34B5E" w:rsidP="00C34B5E">
            <w:pPr>
              <w:numPr>
                <w:ilvl w:val="0"/>
                <w:numId w:val="1"/>
              </w:numPr>
              <w:rPr>
                <w:rFonts w:cs="Arial"/>
                <w:bCs/>
                <w:szCs w:val="22"/>
              </w:rPr>
            </w:pPr>
            <w:r>
              <w:rPr>
                <w:rFonts w:cs="Arial"/>
                <w:bCs/>
                <w:szCs w:val="22"/>
              </w:rPr>
              <w:t>Steady demand for the programme;</w:t>
            </w:r>
          </w:p>
          <w:p w:rsidR="00C34B5E" w:rsidRDefault="00C34B5E" w:rsidP="00C34B5E">
            <w:pPr>
              <w:numPr>
                <w:ilvl w:val="0"/>
                <w:numId w:val="1"/>
              </w:numPr>
              <w:rPr>
                <w:rFonts w:cs="Arial"/>
                <w:bCs/>
                <w:szCs w:val="22"/>
              </w:rPr>
            </w:pPr>
            <w:r>
              <w:rPr>
                <w:rFonts w:cs="Arial"/>
                <w:bCs/>
                <w:szCs w:val="22"/>
              </w:rPr>
              <w:t>High entry requirements;</w:t>
            </w:r>
          </w:p>
          <w:p w:rsidR="00C34B5E" w:rsidRDefault="00C34B5E" w:rsidP="00C34B5E">
            <w:pPr>
              <w:numPr>
                <w:ilvl w:val="0"/>
                <w:numId w:val="1"/>
              </w:numPr>
              <w:rPr>
                <w:rFonts w:cs="Arial"/>
                <w:bCs/>
                <w:szCs w:val="22"/>
              </w:rPr>
            </w:pPr>
            <w:r>
              <w:rPr>
                <w:rFonts w:cs="Arial"/>
                <w:bCs/>
                <w:szCs w:val="22"/>
              </w:rPr>
              <w:t>Good assessment results;</w:t>
            </w:r>
          </w:p>
          <w:p w:rsidR="00C34B5E" w:rsidRDefault="00C34B5E" w:rsidP="00C34B5E">
            <w:pPr>
              <w:numPr>
                <w:ilvl w:val="0"/>
                <w:numId w:val="1"/>
              </w:numPr>
              <w:rPr>
                <w:rFonts w:cs="Arial"/>
                <w:bCs/>
                <w:szCs w:val="22"/>
              </w:rPr>
            </w:pPr>
            <w:r>
              <w:rPr>
                <w:rFonts w:cs="Arial"/>
                <w:bCs/>
                <w:szCs w:val="22"/>
              </w:rPr>
              <w:t>Favourable remarks from external examiners;</w:t>
            </w:r>
          </w:p>
          <w:p w:rsidR="00C34B5E" w:rsidRDefault="00C34B5E" w:rsidP="00C34B5E">
            <w:pPr>
              <w:numPr>
                <w:ilvl w:val="0"/>
                <w:numId w:val="1"/>
              </w:numPr>
              <w:rPr>
                <w:rFonts w:cs="Arial"/>
                <w:bCs/>
                <w:szCs w:val="22"/>
              </w:rPr>
            </w:pPr>
            <w:r>
              <w:rPr>
                <w:rFonts w:cs="Arial"/>
                <w:bCs/>
                <w:szCs w:val="22"/>
              </w:rPr>
              <w:t>Students’ questionnaires/feedback via the Teaching Quality Assessment surveys.</w:t>
            </w:r>
          </w:p>
          <w:p w:rsidR="00C34B5E" w:rsidRDefault="00C34B5E" w:rsidP="002521FD">
            <w:pPr>
              <w:ind w:left="360"/>
              <w:rPr>
                <w:rFonts w:cs="Arial"/>
                <w:bCs/>
                <w:szCs w:val="22"/>
              </w:rPr>
            </w:pPr>
          </w:p>
          <w:p w:rsidR="00C34B5E" w:rsidRPr="00A2439B" w:rsidRDefault="00C34B5E" w:rsidP="002521FD">
            <w:pPr>
              <w:rPr>
                <w:rFonts w:cs="Arial"/>
                <w:szCs w:val="20"/>
              </w:rPr>
            </w:pPr>
            <w:r>
              <w:rPr>
                <w:rFonts w:cs="Arial"/>
                <w:szCs w:val="20"/>
              </w:rPr>
              <w:t xml:space="preserve">The </w:t>
            </w:r>
            <w:hyperlink r:id="rId7" w:history="1">
              <w:r>
                <w:rPr>
                  <w:rStyle w:val="Hyperlink"/>
                  <w:rFonts w:cs="Arial"/>
                  <w:szCs w:val="20"/>
                </w:rPr>
                <w:t>LSE Careers Centre website</w:t>
              </w:r>
            </w:hyperlink>
            <w:r>
              <w:rPr>
                <w:rFonts w:cs="Arial"/>
                <w:szCs w:val="20"/>
              </w:rPr>
              <w:t xml:space="preserve"> provides data on career destinations of LSE graduates.</w:t>
            </w:r>
          </w:p>
          <w:p w:rsidR="00C34B5E" w:rsidRPr="00AC001C" w:rsidRDefault="00C34B5E" w:rsidP="002521FD">
            <w:pPr>
              <w:rPr>
                <w:rFonts w:cs="Arial"/>
                <w:i/>
                <w:szCs w:val="20"/>
              </w:rPr>
            </w:pPr>
          </w:p>
        </w:tc>
      </w:tr>
    </w:tbl>
    <w:p w:rsidR="00C34B5E" w:rsidRPr="00AC001C" w:rsidRDefault="00C34B5E" w:rsidP="00C34B5E">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C34B5E" w:rsidRPr="00AC001C" w:rsidTr="002521FD">
        <w:tc>
          <w:tcPr>
            <w:tcW w:w="495" w:type="dxa"/>
            <w:shd w:val="pct10" w:color="auto" w:fill="auto"/>
          </w:tcPr>
          <w:p w:rsidR="00C34B5E" w:rsidRPr="00AC001C" w:rsidRDefault="00C34B5E" w:rsidP="002521FD">
            <w:pPr>
              <w:rPr>
                <w:rFonts w:cs="Arial"/>
                <w:b/>
                <w:bCs/>
                <w:szCs w:val="20"/>
              </w:rPr>
            </w:pPr>
            <w:r w:rsidRPr="00AC001C">
              <w:rPr>
                <w:rFonts w:cs="Arial"/>
                <w:b/>
                <w:bCs/>
                <w:szCs w:val="20"/>
              </w:rPr>
              <w:t xml:space="preserve">16. </w:t>
            </w:r>
          </w:p>
        </w:tc>
        <w:tc>
          <w:tcPr>
            <w:tcW w:w="8402" w:type="dxa"/>
            <w:shd w:val="pct10" w:color="auto" w:fill="auto"/>
          </w:tcPr>
          <w:p w:rsidR="00C34B5E" w:rsidRPr="00AC001C" w:rsidRDefault="00C34B5E" w:rsidP="002521FD">
            <w:pPr>
              <w:rPr>
                <w:rFonts w:cs="Arial"/>
                <w:b/>
                <w:bCs/>
                <w:szCs w:val="20"/>
              </w:rPr>
            </w:pPr>
            <w:r w:rsidRPr="00AC001C">
              <w:rPr>
                <w:rFonts w:cs="Arial"/>
                <w:b/>
                <w:bCs/>
                <w:szCs w:val="20"/>
              </w:rPr>
              <w:t>Methods for evaluating and improving the quality and standard of teaching and learning</w:t>
            </w:r>
          </w:p>
        </w:tc>
      </w:tr>
      <w:tr w:rsidR="00C34B5E" w:rsidRPr="00AC001C" w:rsidTr="002521FD">
        <w:tc>
          <w:tcPr>
            <w:tcW w:w="8897" w:type="dxa"/>
            <w:gridSpan w:val="2"/>
          </w:tcPr>
          <w:p w:rsidR="00C34B5E" w:rsidRDefault="00C34B5E" w:rsidP="002521FD">
            <w:pPr>
              <w:rPr>
                <w:rFonts w:cs="Arial"/>
                <w:i/>
                <w:szCs w:val="20"/>
              </w:rPr>
            </w:pPr>
          </w:p>
          <w:p w:rsidR="00C34B5E" w:rsidRPr="005C0EDF" w:rsidRDefault="00C34B5E" w:rsidP="00C34B5E">
            <w:pPr>
              <w:pStyle w:val="BodyTextIndent"/>
              <w:numPr>
                <w:ilvl w:val="0"/>
                <w:numId w:val="4"/>
              </w:numPr>
              <w:rPr>
                <w:rFonts w:cs="Arial"/>
                <w:b w:val="0"/>
                <w:szCs w:val="22"/>
              </w:rPr>
            </w:pPr>
            <w:r>
              <w:rPr>
                <w:rFonts w:cs="Arial"/>
                <w:b w:val="0"/>
                <w:szCs w:val="22"/>
              </w:rPr>
              <w:t>T</w:t>
            </w:r>
            <w:r w:rsidRPr="005C0EDF">
              <w:rPr>
                <w:rFonts w:cs="Arial"/>
                <w:b w:val="0"/>
                <w:szCs w:val="22"/>
              </w:rPr>
              <w:t>he Department</w:t>
            </w:r>
            <w:r>
              <w:rPr>
                <w:rFonts w:cs="Arial"/>
                <w:b w:val="0"/>
                <w:szCs w:val="22"/>
              </w:rPr>
              <w:t>s</w:t>
            </w:r>
            <w:r w:rsidRPr="005C0EDF">
              <w:rPr>
                <w:rFonts w:cs="Arial"/>
                <w:b w:val="0"/>
                <w:szCs w:val="22"/>
              </w:rPr>
              <w:t xml:space="preserve"> take seriously the feedback on teaching quality provided by the annual Teaching Qualit</w:t>
            </w:r>
            <w:r>
              <w:rPr>
                <w:rFonts w:cs="Arial"/>
                <w:b w:val="0"/>
                <w:szCs w:val="22"/>
              </w:rPr>
              <w:t>y Assessment survey of students. Also, following the completion of the taught modules, meetings between the Programme Directors and teaching staff will take place to discuss module evaluations and share the experiences of teaching in the Executive MSc.</w:t>
            </w:r>
          </w:p>
          <w:p w:rsidR="00C34B5E" w:rsidRPr="005C0EDF" w:rsidRDefault="00C34B5E" w:rsidP="00C34B5E">
            <w:pPr>
              <w:pStyle w:val="BodyTextIndent"/>
              <w:numPr>
                <w:ilvl w:val="0"/>
                <w:numId w:val="4"/>
              </w:numPr>
              <w:rPr>
                <w:rFonts w:cs="Arial"/>
                <w:b w:val="0"/>
                <w:szCs w:val="22"/>
              </w:rPr>
            </w:pPr>
            <w:r>
              <w:rPr>
                <w:rFonts w:cs="Arial"/>
                <w:b w:val="0"/>
                <w:szCs w:val="22"/>
              </w:rPr>
              <w:t xml:space="preserve">Students in this </w:t>
            </w:r>
            <w:r w:rsidRPr="005C0EDF">
              <w:rPr>
                <w:rFonts w:cs="Arial"/>
                <w:b w:val="0"/>
                <w:szCs w:val="22"/>
              </w:rPr>
              <w:t xml:space="preserve">programme </w:t>
            </w:r>
            <w:r>
              <w:rPr>
                <w:rFonts w:cs="Arial"/>
                <w:b w:val="0"/>
                <w:szCs w:val="22"/>
              </w:rPr>
              <w:t xml:space="preserve">will elect </w:t>
            </w:r>
            <w:r w:rsidRPr="005C0EDF">
              <w:rPr>
                <w:rFonts w:cs="Arial"/>
                <w:b w:val="0"/>
                <w:szCs w:val="22"/>
              </w:rPr>
              <w:t xml:space="preserve">one or two representatives who </w:t>
            </w:r>
            <w:r>
              <w:rPr>
                <w:rFonts w:cs="Arial"/>
                <w:b w:val="0"/>
                <w:szCs w:val="22"/>
              </w:rPr>
              <w:t xml:space="preserve">will </w:t>
            </w:r>
            <w:r w:rsidRPr="005C0EDF">
              <w:rPr>
                <w:rFonts w:cs="Arial"/>
                <w:b w:val="0"/>
                <w:szCs w:val="22"/>
              </w:rPr>
              <w:t xml:space="preserve">bring issues of concern to the </w:t>
            </w:r>
            <w:r>
              <w:rPr>
                <w:rFonts w:cs="Arial"/>
                <w:b w:val="0"/>
                <w:szCs w:val="22"/>
              </w:rPr>
              <w:t>Programme Directors</w:t>
            </w:r>
            <w:r w:rsidRPr="005C0EDF">
              <w:rPr>
                <w:rFonts w:cs="Arial"/>
                <w:b w:val="0"/>
                <w:szCs w:val="22"/>
              </w:rPr>
              <w:t>;</w:t>
            </w:r>
          </w:p>
          <w:p w:rsidR="00C34B5E" w:rsidRPr="005C0EDF" w:rsidRDefault="00C34B5E" w:rsidP="00C34B5E">
            <w:pPr>
              <w:pStyle w:val="BodyTextIndent"/>
              <w:numPr>
                <w:ilvl w:val="0"/>
                <w:numId w:val="4"/>
              </w:numPr>
              <w:rPr>
                <w:rFonts w:cs="Arial"/>
                <w:b w:val="0"/>
                <w:szCs w:val="22"/>
              </w:rPr>
            </w:pPr>
            <w:r w:rsidRPr="005C0EDF">
              <w:rPr>
                <w:rFonts w:cs="Arial"/>
                <w:b w:val="0"/>
                <w:szCs w:val="22"/>
              </w:rPr>
              <w:t>The Department</w:t>
            </w:r>
            <w:r>
              <w:rPr>
                <w:rFonts w:cs="Arial"/>
                <w:b w:val="0"/>
                <w:szCs w:val="22"/>
              </w:rPr>
              <w:t>s</w:t>
            </w:r>
            <w:r w:rsidRPr="005C0EDF">
              <w:rPr>
                <w:rFonts w:cs="Arial"/>
                <w:b w:val="0"/>
                <w:szCs w:val="22"/>
              </w:rPr>
              <w:t xml:space="preserve"> hold termly staff-student meetings at which student representatives from all programmes are able to raise issues of concern. Due</w:t>
            </w:r>
            <w:r>
              <w:rPr>
                <w:rFonts w:cs="Arial"/>
                <w:b w:val="0"/>
                <w:szCs w:val="22"/>
              </w:rPr>
              <w:t xml:space="preserve"> to the executive nature of this p</w:t>
            </w:r>
            <w:r w:rsidRPr="005C0EDF">
              <w:rPr>
                <w:rFonts w:cs="Arial"/>
                <w:b w:val="0"/>
                <w:szCs w:val="22"/>
              </w:rPr>
              <w:t>rog</w:t>
            </w:r>
            <w:r>
              <w:rPr>
                <w:rFonts w:cs="Arial"/>
                <w:b w:val="0"/>
                <w:szCs w:val="22"/>
              </w:rPr>
              <w:t>r</w:t>
            </w:r>
            <w:r w:rsidRPr="005C0EDF">
              <w:rPr>
                <w:rFonts w:cs="Arial"/>
                <w:b w:val="0"/>
                <w:szCs w:val="22"/>
              </w:rPr>
              <w:t xml:space="preserve">amme, the student-staff meetings may not be at convenient times for student representatives to attend. </w:t>
            </w:r>
            <w:r>
              <w:rPr>
                <w:rFonts w:cs="Arial"/>
                <w:b w:val="0"/>
                <w:szCs w:val="22"/>
              </w:rPr>
              <w:t xml:space="preserve">Under these circumstances, </w:t>
            </w:r>
            <w:r w:rsidRPr="005C0EDF">
              <w:rPr>
                <w:rFonts w:cs="Arial"/>
                <w:b w:val="0"/>
                <w:szCs w:val="22"/>
              </w:rPr>
              <w:t>the programme director will take forward suggestions and proposals to</w:t>
            </w:r>
            <w:r>
              <w:rPr>
                <w:rFonts w:cs="Arial"/>
                <w:b w:val="0"/>
                <w:szCs w:val="22"/>
              </w:rPr>
              <w:t xml:space="preserve"> that meeting on behalf of the p</w:t>
            </w:r>
            <w:r w:rsidRPr="005C0EDF">
              <w:rPr>
                <w:rFonts w:cs="Arial"/>
                <w:b w:val="0"/>
                <w:szCs w:val="22"/>
              </w:rPr>
              <w:t>rogramme</w:t>
            </w:r>
            <w:r>
              <w:rPr>
                <w:rFonts w:cs="Arial"/>
                <w:b w:val="0"/>
                <w:szCs w:val="22"/>
              </w:rPr>
              <w:t>;</w:t>
            </w:r>
          </w:p>
          <w:p w:rsidR="00C34B5E" w:rsidRDefault="00C34B5E" w:rsidP="00C34B5E">
            <w:pPr>
              <w:numPr>
                <w:ilvl w:val="0"/>
                <w:numId w:val="4"/>
              </w:numPr>
              <w:rPr>
                <w:rFonts w:cs="Arial"/>
                <w:szCs w:val="22"/>
              </w:rPr>
            </w:pPr>
            <w:r>
              <w:rPr>
                <w:rFonts w:cs="Arial"/>
                <w:szCs w:val="22"/>
              </w:rPr>
              <w:t>The Department of Social Policy (being the host department) has a Teaching Committee; part of its remit is to plan provision and support innovation;</w:t>
            </w:r>
          </w:p>
          <w:p w:rsidR="00C34B5E" w:rsidRDefault="00C34B5E" w:rsidP="00C34B5E">
            <w:pPr>
              <w:numPr>
                <w:ilvl w:val="0"/>
                <w:numId w:val="4"/>
              </w:numPr>
              <w:rPr>
                <w:rFonts w:cs="Arial"/>
                <w:szCs w:val="22"/>
              </w:rPr>
            </w:pPr>
            <w:r>
              <w:rPr>
                <w:rFonts w:cs="Arial"/>
                <w:szCs w:val="22"/>
              </w:rPr>
              <w:t>The Departments (and School) take seriously the feedback from external examiners; comments made by external examiners are followed up within each Department and by the School;</w:t>
            </w:r>
          </w:p>
          <w:p w:rsidR="00C34B5E" w:rsidRDefault="00C34B5E" w:rsidP="00C34B5E">
            <w:pPr>
              <w:numPr>
                <w:ilvl w:val="0"/>
                <w:numId w:val="4"/>
              </w:numPr>
              <w:rPr>
                <w:rFonts w:cs="Arial"/>
                <w:szCs w:val="22"/>
              </w:rPr>
            </w:pPr>
            <w:r w:rsidRPr="00A7659D">
              <w:rPr>
                <w:rFonts w:cs="Arial"/>
                <w:szCs w:val="22"/>
              </w:rPr>
              <w:t>The</w:t>
            </w:r>
            <w:r>
              <w:rPr>
                <w:rFonts w:cs="Arial"/>
                <w:szCs w:val="22"/>
              </w:rPr>
              <w:t xml:space="preserve"> School’s Teaching, </w:t>
            </w:r>
            <w:r w:rsidRPr="00A7659D">
              <w:rPr>
                <w:rFonts w:cs="Arial"/>
                <w:szCs w:val="22"/>
              </w:rPr>
              <w:t xml:space="preserve">Learning </w:t>
            </w:r>
            <w:r>
              <w:rPr>
                <w:rFonts w:cs="Arial"/>
                <w:szCs w:val="22"/>
              </w:rPr>
              <w:t>and Assessment Committee</w:t>
            </w:r>
            <w:r w:rsidRPr="00A7659D">
              <w:rPr>
                <w:rFonts w:cs="Arial"/>
                <w:szCs w:val="22"/>
              </w:rPr>
              <w:t xml:space="preserve"> is available to monitor and observe teaching and offers constructive advice on how to improve the standard of teaching and quality.</w:t>
            </w:r>
          </w:p>
          <w:p w:rsidR="00C34B5E" w:rsidRPr="004135E6" w:rsidRDefault="00C34B5E" w:rsidP="00C34B5E">
            <w:pPr>
              <w:numPr>
                <w:ilvl w:val="0"/>
                <w:numId w:val="4"/>
              </w:numPr>
              <w:rPr>
                <w:rFonts w:cs="Arial"/>
                <w:i/>
                <w:szCs w:val="20"/>
              </w:rPr>
            </w:pPr>
            <w:r>
              <w:rPr>
                <w:rFonts w:cs="Arial"/>
                <w:szCs w:val="22"/>
              </w:rPr>
              <w:t>Every time the students are on campus we will hold a programme meeting to discuss how the programme is going, thus giving students a forum in which to discuss any feedback with the programme directors.</w:t>
            </w:r>
          </w:p>
          <w:p w:rsidR="00C34B5E" w:rsidRPr="005D7062" w:rsidRDefault="00C34B5E" w:rsidP="00C34B5E">
            <w:pPr>
              <w:numPr>
                <w:ilvl w:val="0"/>
                <w:numId w:val="4"/>
              </w:numPr>
              <w:rPr>
                <w:rFonts w:cs="Arial"/>
                <w:i/>
                <w:szCs w:val="20"/>
              </w:rPr>
            </w:pPr>
            <w:r>
              <w:rPr>
                <w:rFonts w:cs="Arial"/>
                <w:szCs w:val="20"/>
              </w:rPr>
              <w:t>The Programme Directors will produce an annual report on the Executive MSc in Behavioural Science detailing, among others, student demand, student satisfaction and teacher experience and satisfaction. This report will be made available to the Teaching Committee and the Departmental Meeting for discussion.</w:t>
            </w:r>
          </w:p>
          <w:p w:rsidR="00C34B5E" w:rsidRPr="004135E6" w:rsidRDefault="00C34B5E" w:rsidP="00C34B5E">
            <w:pPr>
              <w:numPr>
                <w:ilvl w:val="0"/>
                <w:numId w:val="4"/>
              </w:numPr>
              <w:tabs>
                <w:tab w:val="left" w:pos="-720"/>
                <w:tab w:val="left" w:pos="0"/>
              </w:tabs>
              <w:suppressAutoHyphens/>
              <w:rPr>
                <w:rFonts w:cs="Arial"/>
                <w:i/>
                <w:szCs w:val="20"/>
              </w:rPr>
            </w:pPr>
            <w:r w:rsidRPr="002B6ED3">
              <w:rPr>
                <w:rFonts w:cs="Arial"/>
                <w:szCs w:val="20"/>
              </w:rPr>
              <w:t>Improvements</w:t>
            </w:r>
            <w:r>
              <w:rPr>
                <w:rFonts w:cs="Arial"/>
                <w:szCs w:val="20"/>
              </w:rPr>
              <w:t xml:space="preserve"> in teaching techniques and methods offered </w:t>
            </w:r>
            <w:r w:rsidRPr="002B6ED3">
              <w:rPr>
                <w:rFonts w:cs="Arial"/>
                <w:szCs w:val="20"/>
              </w:rPr>
              <w:t>by the Teaching and Learning Centre (TLC) t</w:t>
            </w:r>
            <w:r>
              <w:rPr>
                <w:rFonts w:cs="Arial"/>
                <w:szCs w:val="20"/>
              </w:rPr>
              <w:t>hrough observations and advice.</w:t>
            </w:r>
            <w:r w:rsidRPr="004135E6">
              <w:rPr>
                <w:rFonts w:cs="Arial"/>
                <w:i/>
                <w:szCs w:val="20"/>
              </w:rPr>
              <w:br/>
            </w:r>
          </w:p>
        </w:tc>
      </w:tr>
    </w:tbl>
    <w:p w:rsidR="009911ED" w:rsidRDefault="009911ED"/>
    <w:sectPr w:rsidR="00991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C7128"/>
    <w:multiLevelType w:val="hybridMultilevel"/>
    <w:tmpl w:val="9DE4AB9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3D73036"/>
    <w:multiLevelType w:val="hybridMultilevel"/>
    <w:tmpl w:val="9C82AA7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E9F22DE"/>
    <w:multiLevelType w:val="hybridMultilevel"/>
    <w:tmpl w:val="B716651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1FE253B"/>
    <w:multiLevelType w:val="hybridMultilevel"/>
    <w:tmpl w:val="0EAC3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3F8383D"/>
    <w:multiLevelType w:val="hybridMultilevel"/>
    <w:tmpl w:val="5E84707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B5E"/>
    <w:rsid w:val="002A5A90"/>
    <w:rsid w:val="0047655F"/>
    <w:rsid w:val="009911ED"/>
    <w:rsid w:val="00C34B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B5E"/>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C34B5E"/>
    <w:pPr>
      <w:keepNext/>
      <w:outlineLvl w:val="0"/>
    </w:pPr>
    <w:rPr>
      <w:b/>
      <w:color w:val="0000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B5E"/>
    <w:rPr>
      <w:rFonts w:ascii="Arial" w:eastAsia="Times New Roman" w:hAnsi="Arial" w:cs="Times New Roman"/>
      <w:b/>
      <w:color w:val="000080"/>
      <w:sz w:val="20"/>
      <w:szCs w:val="20"/>
    </w:rPr>
  </w:style>
  <w:style w:type="paragraph" w:styleId="CommentText">
    <w:name w:val="annotation text"/>
    <w:basedOn w:val="Normal"/>
    <w:link w:val="CommentTextChar"/>
    <w:semiHidden/>
    <w:rsid w:val="00C34B5E"/>
    <w:rPr>
      <w:szCs w:val="20"/>
    </w:rPr>
  </w:style>
  <w:style w:type="character" w:customStyle="1" w:styleId="CommentTextChar">
    <w:name w:val="Comment Text Char"/>
    <w:basedOn w:val="DefaultParagraphFont"/>
    <w:link w:val="CommentText"/>
    <w:semiHidden/>
    <w:rsid w:val="00C34B5E"/>
    <w:rPr>
      <w:rFonts w:ascii="Arial" w:eastAsia="Times New Roman" w:hAnsi="Arial" w:cs="Times New Roman"/>
      <w:sz w:val="20"/>
      <w:szCs w:val="20"/>
    </w:rPr>
  </w:style>
  <w:style w:type="paragraph" w:styleId="BodyText">
    <w:name w:val="Body Text"/>
    <w:basedOn w:val="Normal"/>
    <w:link w:val="BodyTextChar"/>
    <w:rsid w:val="00C34B5E"/>
    <w:pPr>
      <w:jc w:val="right"/>
    </w:pPr>
  </w:style>
  <w:style w:type="character" w:customStyle="1" w:styleId="BodyTextChar">
    <w:name w:val="Body Text Char"/>
    <w:basedOn w:val="DefaultParagraphFont"/>
    <w:link w:val="BodyText"/>
    <w:rsid w:val="00C34B5E"/>
    <w:rPr>
      <w:rFonts w:ascii="Arial" w:eastAsia="Times New Roman" w:hAnsi="Arial" w:cs="Times New Roman"/>
      <w:sz w:val="20"/>
      <w:szCs w:val="24"/>
    </w:rPr>
  </w:style>
  <w:style w:type="character" w:styleId="Hyperlink">
    <w:name w:val="Hyperlink"/>
    <w:rsid w:val="00C34B5E"/>
    <w:rPr>
      <w:color w:val="0000FF"/>
      <w:u w:val="single"/>
    </w:rPr>
  </w:style>
  <w:style w:type="paragraph" w:styleId="BodyTextIndent">
    <w:name w:val="Body Text Indent"/>
    <w:basedOn w:val="Normal"/>
    <w:link w:val="BodyTextIndentChar"/>
    <w:rsid w:val="00C34B5E"/>
    <w:pPr>
      <w:ind w:left="720" w:hanging="720"/>
    </w:pPr>
    <w:rPr>
      <w:b/>
      <w:bCs/>
      <w:color w:val="000000"/>
    </w:rPr>
  </w:style>
  <w:style w:type="character" w:customStyle="1" w:styleId="BodyTextIndentChar">
    <w:name w:val="Body Text Indent Char"/>
    <w:basedOn w:val="DefaultParagraphFont"/>
    <w:link w:val="BodyTextIndent"/>
    <w:rsid w:val="00C34B5E"/>
    <w:rPr>
      <w:rFonts w:ascii="Arial" w:eastAsia="Times New Roman" w:hAnsi="Arial" w:cs="Times New Roman"/>
      <w:b/>
      <w:bCs/>
      <w:color w:val="000000"/>
      <w:sz w:val="20"/>
      <w:szCs w:val="24"/>
    </w:rPr>
  </w:style>
  <w:style w:type="paragraph" w:styleId="NormalWeb">
    <w:name w:val="Normal (Web)"/>
    <w:basedOn w:val="Normal"/>
    <w:rsid w:val="00C34B5E"/>
    <w:pPr>
      <w:spacing w:before="100" w:beforeAutospacing="1" w:after="100" w:afterAutospacing="1"/>
    </w:pPr>
    <w:rPr>
      <w:rFonts w:ascii="Arial Unicode MS" w:eastAsia="Arial Unicode MS" w:hAnsi="Arial Unicode MS" w:cs="Arial Unicode M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B5E"/>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C34B5E"/>
    <w:pPr>
      <w:keepNext/>
      <w:outlineLvl w:val="0"/>
    </w:pPr>
    <w:rPr>
      <w:b/>
      <w:color w:val="0000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B5E"/>
    <w:rPr>
      <w:rFonts w:ascii="Arial" w:eastAsia="Times New Roman" w:hAnsi="Arial" w:cs="Times New Roman"/>
      <w:b/>
      <w:color w:val="000080"/>
      <w:sz w:val="20"/>
      <w:szCs w:val="20"/>
    </w:rPr>
  </w:style>
  <w:style w:type="paragraph" w:styleId="CommentText">
    <w:name w:val="annotation text"/>
    <w:basedOn w:val="Normal"/>
    <w:link w:val="CommentTextChar"/>
    <w:semiHidden/>
    <w:rsid w:val="00C34B5E"/>
    <w:rPr>
      <w:szCs w:val="20"/>
    </w:rPr>
  </w:style>
  <w:style w:type="character" w:customStyle="1" w:styleId="CommentTextChar">
    <w:name w:val="Comment Text Char"/>
    <w:basedOn w:val="DefaultParagraphFont"/>
    <w:link w:val="CommentText"/>
    <w:semiHidden/>
    <w:rsid w:val="00C34B5E"/>
    <w:rPr>
      <w:rFonts w:ascii="Arial" w:eastAsia="Times New Roman" w:hAnsi="Arial" w:cs="Times New Roman"/>
      <w:sz w:val="20"/>
      <w:szCs w:val="20"/>
    </w:rPr>
  </w:style>
  <w:style w:type="paragraph" w:styleId="BodyText">
    <w:name w:val="Body Text"/>
    <w:basedOn w:val="Normal"/>
    <w:link w:val="BodyTextChar"/>
    <w:rsid w:val="00C34B5E"/>
    <w:pPr>
      <w:jc w:val="right"/>
    </w:pPr>
  </w:style>
  <w:style w:type="character" w:customStyle="1" w:styleId="BodyTextChar">
    <w:name w:val="Body Text Char"/>
    <w:basedOn w:val="DefaultParagraphFont"/>
    <w:link w:val="BodyText"/>
    <w:rsid w:val="00C34B5E"/>
    <w:rPr>
      <w:rFonts w:ascii="Arial" w:eastAsia="Times New Roman" w:hAnsi="Arial" w:cs="Times New Roman"/>
      <w:sz w:val="20"/>
      <w:szCs w:val="24"/>
    </w:rPr>
  </w:style>
  <w:style w:type="character" w:styleId="Hyperlink">
    <w:name w:val="Hyperlink"/>
    <w:rsid w:val="00C34B5E"/>
    <w:rPr>
      <w:color w:val="0000FF"/>
      <w:u w:val="single"/>
    </w:rPr>
  </w:style>
  <w:style w:type="paragraph" w:styleId="BodyTextIndent">
    <w:name w:val="Body Text Indent"/>
    <w:basedOn w:val="Normal"/>
    <w:link w:val="BodyTextIndentChar"/>
    <w:rsid w:val="00C34B5E"/>
    <w:pPr>
      <w:ind w:left="720" w:hanging="720"/>
    </w:pPr>
    <w:rPr>
      <w:b/>
      <w:bCs/>
      <w:color w:val="000000"/>
    </w:rPr>
  </w:style>
  <w:style w:type="character" w:customStyle="1" w:styleId="BodyTextIndentChar">
    <w:name w:val="Body Text Indent Char"/>
    <w:basedOn w:val="DefaultParagraphFont"/>
    <w:link w:val="BodyTextIndent"/>
    <w:rsid w:val="00C34B5E"/>
    <w:rPr>
      <w:rFonts w:ascii="Arial" w:eastAsia="Times New Roman" w:hAnsi="Arial" w:cs="Times New Roman"/>
      <w:b/>
      <w:bCs/>
      <w:color w:val="000000"/>
      <w:sz w:val="20"/>
      <w:szCs w:val="24"/>
    </w:rPr>
  </w:style>
  <w:style w:type="paragraph" w:styleId="NormalWeb">
    <w:name w:val="Normal (Web)"/>
    <w:basedOn w:val="Normal"/>
    <w:rsid w:val="00C34B5E"/>
    <w:pPr>
      <w:spacing w:before="100" w:beforeAutospacing="1" w:after="100" w:afterAutospacing="1"/>
    </w:pPr>
    <w:rPr>
      <w:rFonts w:ascii="Arial Unicode MS" w:eastAsia="Arial Unicode MS" w:hAnsi="Arial Unicode MS" w:cs="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se.ac.uk/collections/graduateDestin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se.ac.uk/resources/calendar/programmeRegulations/taughtMasters/2014_ExecutiveMScBehaviouralScience.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6ED9D2CD.dotm</Template>
  <TotalTime>4</TotalTime>
  <Pages>3</Pages>
  <Words>1226</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8204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Foxcroft</dc:creator>
  <cp:lastModifiedBy>Foxcroft</cp:lastModifiedBy>
  <cp:revision>3</cp:revision>
  <dcterms:created xsi:type="dcterms:W3CDTF">2014-11-05T15:52:00Z</dcterms:created>
  <dcterms:modified xsi:type="dcterms:W3CDTF">2014-11-05T15:58:00Z</dcterms:modified>
</cp:coreProperties>
</file>