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EF6" w:rsidRPr="00DB51BD" w:rsidRDefault="00136EF6" w:rsidP="00136EF6">
      <w:pPr>
        <w:pStyle w:val="Heading1"/>
        <w:rPr>
          <w:rFonts w:cs="Arial"/>
          <w:color w:val="auto"/>
        </w:rPr>
      </w:pPr>
      <w:r w:rsidRPr="00DB51BD">
        <w:rPr>
          <w:rFonts w:cs="Arial"/>
          <w:color w:val="auto"/>
        </w:rPr>
        <w:t>PROGRAMME SPECIFICATION</w:t>
      </w:r>
      <w:r>
        <w:rPr>
          <w:rFonts w:cs="Arial"/>
          <w:color w:val="auto"/>
        </w:rPr>
        <w:t>:</w:t>
      </w:r>
      <w:r w:rsidRPr="00DB51BD">
        <w:rPr>
          <w:rFonts w:cs="Arial"/>
          <w:color w:val="auto"/>
        </w:rPr>
        <w:t xml:space="preserve"> </w:t>
      </w:r>
      <w:r w:rsidRPr="00136EF6">
        <w:rPr>
          <w:rFonts w:cs="Arial"/>
          <w:color w:val="auto"/>
        </w:rPr>
        <w:t>Executive Master of Public Administration (EMPA)</w:t>
      </w:r>
    </w:p>
    <w:p w:rsidR="00136EF6" w:rsidRPr="00DB51BD" w:rsidRDefault="00136EF6" w:rsidP="00136EF6"/>
    <w:p w:rsidR="00136EF6" w:rsidRPr="00DB51BD" w:rsidRDefault="00136EF6" w:rsidP="00136EF6">
      <w:pPr>
        <w:rPr>
          <w:rFonts w:cs="Arial"/>
          <w:b/>
          <w:bCs/>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
        <w:gridCol w:w="3960"/>
        <w:gridCol w:w="5319"/>
      </w:tblGrid>
      <w:tr w:rsidR="00136EF6" w:rsidRPr="00DB51BD" w:rsidTr="00BF4D97">
        <w:tc>
          <w:tcPr>
            <w:tcW w:w="468" w:type="dxa"/>
            <w:shd w:val="pct10" w:color="auto" w:fill="auto"/>
          </w:tcPr>
          <w:p w:rsidR="00136EF6" w:rsidRPr="00DB51BD" w:rsidRDefault="00136EF6" w:rsidP="00BF4D97">
            <w:pPr>
              <w:rPr>
                <w:rFonts w:cs="Arial"/>
                <w:b/>
                <w:bCs/>
                <w:szCs w:val="20"/>
              </w:rPr>
            </w:pPr>
            <w:r w:rsidRPr="00DB51BD">
              <w:rPr>
                <w:rFonts w:cs="Arial"/>
                <w:b/>
                <w:bCs/>
                <w:szCs w:val="20"/>
              </w:rPr>
              <w:t xml:space="preserve">1. </w:t>
            </w:r>
          </w:p>
        </w:tc>
        <w:tc>
          <w:tcPr>
            <w:tcW w:w="3960" w:type="dxa"/>
            <w:shd w:val="pct10" w:color="auto" w:fill="auto"/>
          </w:tcPr>
          <w:p w:rsidR="00136EF6" w:rsidRPr="00DB51BD" w:rsidRDefault="00136EF6" w:rsidP="00BF4D97">
            <w:pPr>
              <w:rPr>
                <w:rFonts w:cs="Arial"/>
                <w:b/>
                <w:bCs/>
                <w:szCs w:val="20"/>
              </w:rPr>
            </w:pPr>
            <w:r w:rsidRPr="00DB51BD">
              <w:rPr>
                <w:rFonts w:cs="Arial"/>
                <w:b/>
                <w:bCs/>
                <w:szCs w:val="20"/>
              </w:rPr>
              <w:t>Awarding Body</w:t>
            </w:r>
          </w:p>
        </w:tc>
        <w:tc>
          <w:tcPr>
            <w:tcW w:w="5319" w:type="dxa"/>
          </w:tcPr>
          <w:p w:rsidR="00136EF6" w:rsidRPr="00136EF6" w:rsidRDefault="00136EF6" w:rsidP="00136EF6">
            <w:pPr>
              <w:rPr>
                <w:rFonts w:cs="Arial"/>
                <w:spacing w:val="-2"/>
                <w:szCs w:val="20"/>
              </w:rPr>
            </w:pPr>
            <w:r>
              <w:rPr>
                <w:rFonts w:cs="Arial"/>
                <w:spacing w:val="-2"/>
                <w:szCs w:val="20"/>
              </w:rPr>
              <w:t xml:space="preserve">LSE </w:t>
            </w:r>
          </w:p>
        </w:tc>
      </w:tr>
      <w:tr w:rsidR="00136EF6" w:rsidRPr="00DB51BD" w:rsidTr="00BF4D97">
        <w:tc>
          <w:tcPr>
            <w:tcW w:w="468" w:type="dxa"/>
            <w:shd w:val="pct10" w:color="auto" w:fill="auto"/>
          </w:tcPr>
          <w:p w:rsidR="00136EF6" w:rsidRPr="00DB51BD" w:rsidRDefault="00136EF6" w:rsidP="00BF4D97">
            <w:pPr>
              <w:rPr>
                <w:rFonts w:cs="Arial"/>
                <w:b/>
                <w:bCs/>
                <w:szCs w:val="20"/>
              </w:rPr>
            </w:pPr>
            <w:r w:rsidRPr="00DB51BD">
              <w:rPr>
                <w:rFonts w:cs="Arial"/>
                <w:b/>
                <w:bCs/>
                <w:szCs w:val="20"/>
              </w:rPr>
              <w:t xml:space="preserve">2. </w:t>
            </w:r>
          </w:p>
        </w:tc>
        <w:tc>
          <w:tcPr>
            <w:tcW w:w="3960" w:type="dxa"/>
            <w:shd w:val="pct10" w:color="auto" w:fill="auto"/>
          </w:tcPr>
          <w:p w:rsidR="00136EF6" w:rsidRPr="00DB51BD" w:rsidRDefault="00136EF6" w:rsidP="00BF4D97">
            <w:pPr>
              <w:rPr>
                <w:rFonts w:cs="Arial"/>
                <w:b/>
                <w:bCs/>
                <w:szCs w:val="20"/>
              </w:rPr>
            </w:pPr>
            <w:r w:rsidRPr="00DB51BD">
              <w:rPr>
                <w:rFonts w:cs="Arial"/>
                <w:b/>
                <w:bCs/>
                <w:szCs w:val="20"/>
              </w:rPr>
              <w:t xml:space="preserve">Details of accreditation by a professional/statutory body, </w:t>
            </w:r>
            <w:r w:rsidRPr="00DB51BD">
              <w:rPr>
                <w:rFonts w:cs="Arial"/>
                <w:b/>
                <w:bCs/>
                <w:szCs w:val="20"/>
              </w:rPr>
              <w:br/>
              <w:t xml:space="preserve">e.g. ESRC; BPS </w:t>
            </w:r>
            <w:proofErr w:type="spellStart"/>
            <w:r w:rsidRPr="00DB51BD">
              <w:rPr>
                <w:rFonts w:cs="Arial"/>
                <w:b/>
                <w:bCs/>
                <w:szCs w:val="20"/>
              </w:rPr>
              <w:t>etc</w:t>
            </w:r>
            <w:proofErr w:type="spellEnd"/>
          </w:p>
        </w:tc>
        <w:tc>
          <w:tcPr>
            <w:tcW w:w="5319" w:type="dxa"/>
          </w:tcPr>
          <w:p w:rsidR="00136EF6" w:rsidRPr="00136EF6" w:rsidRDefault="00B3208D" w:rsidP="00BF4D97">
            <w:pPr>
              <w:rPr>
                <w:rFonts w:cs="Arial"/>
                <w:spacing w:val="-2"/>
                <w:szCs w:val="20"/>
              </w:rPr>
            </w:pPr>
            <w:r>
              <w:rPr>
                <w:rFonts w:cs="Arial"/>
                <w:spacing w:val="-2"/>
                <w:szCs w:val="20"/>
              </w:rPr>
              <w:t>N/A</w:t>
            </w:r>
          </w:p>
        </w:tc>
      </w:tr>
      <w:tr w:rsidR="00136EF6" w:rsidRPr="00DB51BD" w:rsidTr="00BF4D97">
        <w:tc>
          <w:tcPr>
            <w:tcW w:w="468" w:type="dxa"/>
            <w:shd w:val="pct10" w:color="auto" w:fill="auto"/>
          </w:tcPr>
          <w:p w:rsidR="00136EF6" w:rsidRPr="00DB51BD" w:rsidRDefault="00136EF6" w:rsidP="00BF4D97">
            <w:pPr>
              <w:rPr>
                <w:rFonts w:cs="Arial"/>
                <w:b/>
                <w:bCs/>
                <w:szCs w:val="20"/>
              </w:rPr>
            </w:pPr>
            <w:r w:rsidRPr="00DB51BD">
              <w:rPr>
                <w:rFonts w:cs="Arial"/>
                <w:b/>
                <w:bCs/>
                <w:szCs w:val="20"/>
              </w:rPr>
              <w:t xml:space="preserve">3. </w:t>
            </w:r>
          </w:p>
        </w:tc>
        <w:tc>
          <w:tcPr>
            <w:tcW w:w="3960" w:type="dxa"/>
            <w:shd w:val="pct10" w:color="auto" w:fill="auto"/>
          </w:tcPr>
          <w:p w:rsidR="00136EF6" w:rsidRPr="00DB51BD" w:rsidRDefault="00136EF6" w:rsidP="00BF4D97">
            <w:pPr>
              <w:rPr>
                <w:rFonts w:cs="Arial"/>
                <w:b/>
                <w:bCs/>
                <w:szCs w:val="20"/>
              </w:rPr>
            </w:pPr>
            <w:r w:rsidRPr="00DB51BD">
              <w:rPr>
                <w:rFonts w:cs="Arial"/>
                <w:b/>
                <w:bCs/>
                <w:szCs w:val="20"/>
              </w:rPr>
              <w:t>Name of final award</w:t>
            </w:r>
          </w:p>
        </w:tc>
        <w:tc>
          <w:tcPr>
            <w:tcW w:w="5319" w:type="dxa"/>
          </w:tcPr>
          <w:p w:rsidR="00136EF6" w:rsidRPr="00136EF6" w:rsidRDefault="002C5131" w:rsidP="00136EF6">
            <w:pPr>
              <w:rPr>
                <w:rFonts w:cs="Arial"/>
                <w:spacing w:val="-2"/>
                <w:szCs w:val="20"/>
              </w:rPr>
            </w:pPr>
            <w:r>
              <w:rPr>
                <w:rFonts w:cs="Arial"/>
                <w:spacing w:val="-2"/>
                <w:szCs w:val="20"/>
              </w:rPr>
              <w:t>Executive Master</w:t>
            </w:r>
          </w:p>
        </w:tc>
      </w:tr>
      <w:tr w:rsidR="00136EF6" w:rsidRPr="00DB51BD" w:rsidTr="00BF4D97">
        <w:tc>
          <w:tcPr>
            <w:tcW w:w="468" w:type="dxa"/>
            <w:shd w:val="pct10" w:color="auto" w:fill="auto"/>
          </w:tcPr>
          <w:p w:rsidR="00136EF6" w:rsidRPr="00DB51BD" w:rsidRDefault="00136EF6" w:rsidP="00BF4D97">
            <w:pPr>
              <w:rPr>
                <w:rFonts w:cs="Arial"/>
                <w:b/>
                <w:bCs/>
                <w:szCs w:val="20"/>
              </w:rPr>
            </w:pPr>
            <w:r w:rsidRPr="00DB51BD">
              <w:rPr>
                <w:rFonts w:cs="Arial"/>
                <w:b/>
                <w:bCs/>
                <w:szCs w:val="20"/>
              </w:rPr>
              <w:t xml:space="preserve">4. </w:t>
            </w:r>
          </w:p>
        </w:tc>
        <w:tc>
          <w:tcPr>
            <w:tcW w:w="3960" w:type="dxa"/>
            <w:shd w:val="pct10" w:color="auto" w:fill="auto"/>
          </w:tcPr>
          <w:p w:rsidR="00136EF6" w:rsidRPr="00DB51BD" w:rsidRDefault="00136EF6" w:rsidP="00BF4D97">
            <w:pPr>
              <w:rPr>
                <w:rFonts w:cs="Arial"/>
                <w:b/>
                <w:bCs/>
                <w:szCs w:val="20"/>
              </w:rPr>
            </w:pPr>
            <w:r w:rsidRPr="00DB51BD">
              <w:rPr>
                <w:rFonts w:cs="Arial"/>
                <w:b/>
                <w:bCs/>
                <w:szCs w:val="20"/>
              </w:rPr>
              <w:t>Programme Title</w:t>
            </w:r>
          </w:p>
        </w:tc>
        <w:tc>
          <w:tcPr>
            <w:tcW w:w="5319" w:type="dxa"/>
          </w:tcPr>
          <w:p w:rsidR="00136EF6" w:rsidRPr="00136EF6" w:rsidRDefault="00136EF6" w:rsidP="00BF4D97">
            <w:pPr>
              <w:rPr>
                <w:rFonts w:cs="Arial"/>
                <w:spacing w:val="-2"/>
                <w:szCs w:val="20"/>
              </w:rPr>
            </w:pPr>
            <w:r w:rsidRPr="00136EF6">
              <w:rPr>
                <w:rFonts w:cs="Arial"/>
                <w:spacing w:val="-2"/>
                <w:szCs w:val="20"/>
              </w:rPr>
              <w:t>Public Administration</w:t>
            </w:r>
          </w:p>
        </w:tc>
      </w:tr>
      <w:tr w:rsidR="00136EF6" w:rsidRPr="00DB51BD" w:rsidTr="00BF4D97">
        <w:tc>
          <w:tcPr>
            <w:tcW w:w="468" w:type="dxa"/>
            <w:shd w:val="pct10" w:color="auto" w:fill="auto"/>
          </w:tcPr>
          <w:p w:rsidR="00136EF6" w:rsidRPr="00DB51BD" w:rsidRDefault="00136EF6" w:rsidP="00BF4D97">
            <w:pPr>
              <w:rPr>
                <w:rFonts w:cs="Arial"/>
                <w:b/>
                <w:bCs/>
                <w:szCs w:val="20"/>
              </w:rPr>
            </w:pPr>
            <w:r w:rsidRPr="00DB51BD">
              <w:rPr>
                <w:rFonts w:cs="Arial"/>
                <w:b/>
                <w:bCs/>
                <w:szCs w:val="20"/>
              </w:rPr>
              <w:t xml:space="preserve">5. </w:t>
            </w:r>
          </w:p>
        </w:tc>
        <w:tc>
          <w:tcPr>
            <w:tcW w:w="3960" w:type="dxa"/>
            <w:shd w:val="pct10" w:color="auto" w:fill="auto"/>
          </w:tcPr>
          <w:p w:rsidR="00136EF6" w:rsidRPr="00DB51BD" w:rsidRDefault="00136EF6" w:rsidP="00BF4D97">
            <w:pPr>
              <w:rPr>
                <w:rFonts w:cs="Arial"/>
                <w:b/>
                <w:bCs/>
                <w:szCs w:val="20"/>
              </w:rPr>
            </w:pPr>
            <w:r w:rsidRPr="00DB51BD">
              <w:rPr>
                <w:rFonts w:cs="Arial"/>
                <w:b/>
                <w:bCs/>
                <w:szCs w:val="20"/>
              </w:rPr>
              <w:t>Duration of the course</w:t>
            </w:r>
          </w:p>
        </w:tc>
        <w:tc>
          <w:tcPr>
            <w:tcW w:w="5319" w:type="dxa"/>
          </w:tcPr>
          <w:p w:rsidR="00136EF6" w:rsidRPr="00136EF6" w:rsidRDefault="00136EF6" w:rsidP="00BF4D97">
            <w:pPr>
              <w:rPr>
                <w:rFonts w:cs="Arial"/>
                <w:spacing w:val="-2"/>
                <w:szCs w:val="20"/>
              </w:rPr>
            </w:pPr>
            <w:r w:rsidRPr="00136EF6">
              <w:rPr>
                <w:rFonts w:cs="Arial"/>
                <w:spacing w:val="-2"/>
                <w:szCs w:val="20"/>
              </w:rPr>
              <w:t>20 months (modular blocks)</w:t>
            </w:r>
          </w:p>
        </w:tc>
      </w:tr>
      <w:tr w:rsidR="00136EF6" w:rsidRPr="00DB51BD" w:rsidTr="00BF4D97">
        <w:tc>
          <w:tcPr>
            <w:tcW w:w="468" w:type="dxa"/>
            <w:shd w:val="pct10" w:color="auto" w:fill="auto"/>
          </w:tcPr>
          <w:p w:rsidR="00136EF6" w:rsidRPr="00DB51BD" w:rsidRDefault="00136EF6" w:rsidP="00BF4D97">
            <w:pPr>
              <w:rPr>
                <w:rFonts w:cs="Arial"/>
                <w:b/>
                <w:bCs/>
                <w:szCs w:val="20"/>
              </w:rPr>
            </w:pPr>
            <w:r w:rsidRPr="00DB51BD">
              <w:rPr>
                <w:rFonts w:cs="Arial"/>
                <w:b/>
                <w:bCs/>
                <w:szCs w:val="20"/>
              </w:rPr>
              <w:t xml:space="preserve">6. </w:t>
            </w:r>
          </w:p>
        </w:tc>
        <w:tc>
          <w:tcPr>
            <w:tcW w:w="3960" w:type="dxa"/>
            <w:shd w:val="pct10" w:color="auto" w:fill="auto"/>
          </w:tcPr>
          <w:p w:rsidR="00136EF6" w:rsidRPr="00DB51BD" w:rsidRDefault="00136EF6" w:rsidP="00BF4D97">
            <w:pPr>
              <w:rPr>
                <w:rFonts w:cs="Arial"/>
                <w:b/>
                <w:bCs/>
                <w:szCs w:val="20"/>
              </w:rPr>
            </w:pPr>
            <w:r w:rsidRPr="00DB51BD">
              <w:rPr>
                <w:rFonts w:cs="Arial"/>
                <w:b/>
                <w:bCs/>
                <w:szCs w:val="20"/>
              </w:rPr>
              <w:t>Based in the Department/Institute:</w:t>
            </w:r>
          </w:p>
        </w:tc>
        <w:tc>
          <w:tcPr>
            <w:tcW w:w="5319" w:type="dxa"/>
          </w:tcPr>
          <w:p w:rsidR="00136EF6" w:rsidRPr="00136EF6" w:rsidRDefault="00DB3A31" w:rsidP="00BF4D97">
            <w:pPr>
              <w:rPr>
                <w:rFonts w:cs="Arial"/>
                <w:spacing w:val="-2"/>
                <w:szCs w:val="20"/>
              </w:rPr>
            </w:pPr>
            <w:r w:rsidRPr="00DB3A31">
              <w:rPr>
                <w:rFonts w:cs="Arial"/>
                <w:spacing w:val="-2"/>
                <w:szCs w:val="20"/>
              </w:rPr>
              <w:t>Institute of Public Affairs (IPA)</w:t>
            </w:r>
          </w:p>
        </w:tc>
      </w:tr>
      <w:tr w:rsidR="00136EF6" w:rsidRPr="00DB51BD" w:rsidTr="00BF4D97">
        <w:tc>
          <w:tcPr>
            <w:tcW w:w="468" w:type="dxa"/>
            <w:shd w:val="pct10" w:color="auto" w:fill="auto"/>
          </w:tcPr>
          <w:p w:rsidR="00136EF6" w:rsidRPr="00DB51BD" w:rsidRDefault="00136EF6" w:rsidP="00BF4D97">
            <w:pPr>
              <w:rPr>
                <w:rFonts w:cs="Arial"/>
                <w:b/>
                <w:bCs/>
                <w:szCs w:val="20"/>
              </w:rPr>
            </w:pPr>
            <w:r w:rsidRPr="00DB51BD">
              <w:rPr>
                <w:rFonts w:cs="Arial"/>
                <w:b/>
                <w:bCs/>
                <w:szCs w:val="20"/>
              </w:rPr>
              <w:t xml:space="preserve">7. </w:t>
            </w:r>
          </w:p>
        </w:tc>
        <w:tc>
          <w:tcPr>
            <w:tcW w:w="3960" w:type="dxa"/>
            <w:shd w:val="pct10" w:color="auto" w:fill="auto"/>
          </w:tcPr>
          <w:p w:rsidR="00136EF6" w:rsidRPr="00DB51BD" w:rsidRDefault="00136EF6" w:rsidP="00BF4D97">
            <w:pPr>
              <w:rPr>
                <w:rFonts w:cs="Arial"/>
                <w:b/>
                <w:bCs/>
                <w:szCs w:val="20"/>
              </w:rPr>
            </w:pPr>
            <w:r w:rsidRPr="00DB51BD">
              <w:rPr>
                <w:rFonts w:cs="Arial"/>
                <w:b/>
                <w:bCs/>
                <w:szCs w:val="20"/>
              </w:rPr>
              <w:t>Relevant QAA subject benchmark statements</w:t>
            </w:r>
          </w:p>
        </w:tc>
        <w:tc>
          <w:tcPr>
            <w:tcW w:w="5319" w:type="dxa"/>
          </w:tcPr>
          <w:p w:rsidR="00136EF6" w:rsidRPr="00136EF6" w:rsidRDefault="00DB3A31" w:rsidP="00136EF6">
            <w:pPr>
              <w:rPr>
                <w:rFonts w:cs="Arial"/>
                <w:spacing w:val="-2"/>
                <w:szCs w:val="20"/>
              </w:rPr>
            </w:pPr>
            <w:r>
              <w:rPr>
                <w:rFonts w:cs="Arial"/>
                <w:spacing w:val="-2"/>
                <w:szCs w:val="20"/>
              </w:rPr>
              <w:t>N/A</w:t>
            </w:r>
          </w:p>
        </w:tc>
      </w:tr>
      <w:tr w:rsidR="00136EF6" w:rsidRPr="00DB51BD" w:rsidTr="00BF4D97">
        <w:tc>
          <w:tcPr>
            <w:tcW w:w="468" w:type="dxa"/>
            <w:shd w:val="pct10" w:color="auto" w:fill="auto"/>
          </w:tcPr>
          <w:p w:rsidR="00136EF6" w:rsidRPr="00DB51BD" w:rsidRDefault="00136EF6" w:rsidP="00BF4D97">
            <w:pPr>
              <w:rPr>
                <w:rFonts w:cs="Arial"/>
                <w:b/>
                <w:bCs/>
                <w:szCs w:val="20"/>
              </w:rPr>
            </w:pPr>
            <w:r w:rsidRPr="00DB51BD">
              <w:rPr>
                <w:rFonts w:cs="Arial"/>
                <w:b/>
                <w:bCs/>
                <w:szCs w:val="20"/>
              </w:rPr>
              <w:t xml:space="preserve">8. </w:t>
            </w:r>
          </w:p>
        </w:tc>
        <w:tc>
          <w:tcPr>
            <w:tcW w:w="3960" w:type="dxa"/>
            <w:shd w:val="pct10" w:color="auto" w:fill="auto"/>
          </w:tcPr>
          <w:p w:rsidR="00136EF6" w:rsidRPr="00DB51BD" w:rsidRDefault="00136EF6" w:rsidP="00BF4D97">
            <w:pPr>
              <w:rPr>
                <w:rFonts w:cs="Arial"/>
                <w:b/>
                <w:bCs/>
                <w:szCs w:val="20"/>
              </w:rPr>
            </w:pPr>
            <w:r w:rsidRPr="00DB51BD">
              <w:rPr>
                <w:rFonts w:cs="Arial"/>
                <w:b/>
                <w:bCs/>
                <w:szCs w:val="20"/>
              </w:rPr>
              <w:t>UCAS Code</w:t>
            </w:r>
          </w:p>
        </w:tc>
        <w:tc>
          <w:tcPr>
            <w:tcW w:w="5319" w:type="dxa"/>
          </w:tcPr>
          <w:p w:rsidR="00136EF6" w:rsidRPr="00136EF6" w:rsidRDefault="00DB3A31" w:rsidP="00BF4D97">
            <w:pPr>
              <w:rPr>
                <w:rFonts w:cs="Arial"/>
                <w:spacing w:val="-2"/>
                <w:szCs w:val="20"/>
              </w:rPr>
            </w:pPr>
            <w:r w:rsidRPr="00DB3A31">
              <w:rPr>
                <w:rFonts w:cs="Arial"/>
                <w:spacing w:val="-2"/>
                <w:szCs w:val="20"/>
              </w:rPr>
              <w:t>L2UM</w:t>
            </w:r>
          </w:p>
        </w:tc>
      </w:tr>
      <w:tr w:rsidR="00136EF6" w:rsidRPr="00DB51BD" w:rsidTr="00BF4D97">
        <w:tc>
          <w:tcPr>
            <w:tcW w:w="468" w:type="dxa"/>
            <w:shd w:val="pct10" w:color="auto" w:fill="auto"/>
          </w:tcPr>
          <w:p w:rsidR="00136EF6" w:rsidRPr="00DB51BD" w:rsidRDefault="00136EF6" w:rsidP="00BF4D97">
            <w:pPr>
              <w:rPr>
                <w:rFonts w:cs="Arial"/>
                <w:b/>
                <w:bCs/>
                <w:szCs w:val="20"/>
              </w:rPr>
            </w:pPr>
            <w:r w:rsidRPr="00DB51BD">
              <w:rPr>
                <w:rFonts w:cs="Arial"/>
                <w:b/>
                <w:bCs/>
                <w:szCs w:val="20"/>
              </w:rPr>
              <w:t xml:space="preserve">9. </w:t>
            </w:r>
          </w:p>
        </w:tc>
        <w:tc>
          <w:tcPr>
            <w:tcW w:w="3960" w:type="dxa"/>
            <w:shd w:val="pct10" w:color="auto" w:fill="auto"/>
          </w:tcPr>
          <w:p w:rsidR="00136EF6" w:rsidRPr="00DB51BD" w:rsidRDefault="00136EF6" w:rsidP="00BF4D97">
            <w:pPr>
              <w:rPr>
                <w:rFonts w:cs="Arial"/>
                <w:b/>
                <w:bCs/>
                <w:szCs w:val="20"/>
              </w:rPr>
            </w:pPr>
            <w:r w:rsidRPr="00DB51BD">
              <w:rPr>
                <w:rFonts w:cs="Arial"/>
                <w:b/>
                <w:bCs/>
                <w:szCs w:val="20"/>
              </w:rPr>
              <w:t>First written/last amended</w:t>
            </w:r>
          </w:p>
        </w:tc>
        <w:tc>
          <w:tcPr>
            <w:tcW w:w="5319" w:type="dxa"/>
          </w:tcPr>
          <w:p w:rsidR="00136EF6" w:rsidRPr="00136EF6" w:rsidRDefault="00DB3A31" w:rsidP="00BF4D97">
            <w:pPr>
              <w:rPr>
                <w:rFonts w:cs="Arial"/>
                <w:spacing w:val="-2"/>
                <w:szCs w:val="20"/>
              </w:rPr>
            </w:pPr>
            <w:r>
              <w:rPr>
                <w:rFonts w:cs="Arial"/>
                <w:spacing w:val="-2"/>
                <w:szCs w:val="20"/>
              </w:rPr>
              <w:t>June 2012</w:t>
            </w:r>
          </w:p>
        </w:tc>
      </w:tr>
    </w:tbl>
    <w:p w:rsidR="00136EF6" w:rsidRDefault="00136EF6" w:rsidP="00136EF6">
      <w:pPr>
        <w:rPr>
          <w:rFonts w:cs="Arial"/>
          <w:b/>
          <w:bCs/>
          <w:szCs w:val="20"/>
        </w:rPr>
      </w:pPr>
    </w:p>
    <w:p w:rsidR="00136EF6" w:rsidRPr="00DB51BD" w:rsidRDefault="00136EF6" w:rsidP="00136EF6">
      <w:pPr>
        <w:rPr>
          <w:rFonts w:cs="Arial"/>
          <w:b/>
          <w:bCs/>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9252"/>
      </w:tblGrid>
      <w:tr w:rsidR="00136EF6" w:rsidRPr="00DB51BD" w:rsidTr="00BF4D97">
        <w:tc>
          <w:tcPr>
            <w:tcW w:w="495" w:type="dxa"/>
            <w:shd w:val="pct10" w:color="auto" w:fill="auto"/>
          </w:tcPr>
          <w:p w:rsidR="00136EF6" w:rsidRPr="00DB51BD" w:rsidRDefault="00136EF6" w:rsidP="00BF4D97">
            <w:pPr>
              <w:rPr>
                <w:rFonts w:cs="Arial"/>
                <w:b/>
                <w:bCs/>
                <w:szCs w:val="20"/>
              </w:rPr>
            </w:pPr>
            <w:r w:rsidRPr="00DB51BD">
              <w:rPr>
                <w:rFonts w:cs="Arial"/>
                <w:b/>
                <w:bCs/>
                <w:szCs w:val="20"/>
              </w:rPr>
              <w:t xml:space="preserve">10. </w:t>
            </w:r>
          </w:p>
        </w:tc>
        <w:tc>
          <w:tcPr>
            <w:tcW w:w="9252" w:type="dxa"/>
            <w:shd w:val="pct10" w:color="auto" w:fill="auto"/>
          </w:tcPr>
          <w:p w:rsidR="00136EF6" w:rsidRPr="00DB51BD" w:rsidRDefault="00136EF6" w:rsidP="00BF4D97">
            <w:pPr>
              <w:rPr>
                <w:rFonts w:cs="Arial"/>
                <w:b/>
                <w:bCs/>
                <w:szCs w:val="20"/>
              </w:rPr>
            </w:pPr>
            <w:r w:rsidRPr="00DB51BD">
              <w:rPr>
                <w:rFonts w:cs="Arial"/>
                <w:b/>
                <w:bCs/>
                <w:szCs w:val="20"/>
              </w:rPr>
              <w:t>The programme aims to:</w:t>
            </w:r>
          </w:p>
        </w:tc>
      </w:tr>
      <w:tr w:rsidR="00136EF6" w:rsidRPr="00DB51BD" w:rsidTr="00BF4D97">
        <w:tc>
          <w:tcPr>
            <w:tcW w:w="9747" w:type="dxa"/>
            <w:gridSpan w:val="2"/>
          </w:tcPr>
          <w:p w:rsidR="00136EF6" w:rsidRPr="00696E48" w:rsidRDefault="00136EF6" w:rsidP="00696E48">
            <w:pPr>
              <w:spacing w:before="120" w:after="120"/>
              <w:rPr>
                <w:rFonts w:cs="Arial"/>
                <w:szCs w:val="20"/>
              </w:rPr>
            </w:pPr>
            <w:r w:rsidRPr="00696E48">
              <w:rPr>
                <w:rFonts w:cs="Arial"/>
                <w:szCs w:val="20"/>
              </w:rPr>
              <w:t>The EMPA aims to:</w:t>
            </w:r>
          </w:p>
          <w:p w:rsidR="00136EF6" w:rsidRPr="00696E48" w:rsidRDefault="00136EF6" w:rsidP="00696E48">
            <w:pPr>
              <w:numPr>
                <w:ilvl w:val="0"/>
                <w:numId w:val="9"/>
              </w:numPr>
              <w:spacing w:after="120"/>
              <w:rPr>
                <w:rFonts w:cs="Arial"/>
                <w:szCs w:val="20"/>
              </w:rPr>
            </w:pPr>
            <w:r w:rsidRPr="00696E48">
              <w:rPr>
                <w:rFonts w:cs="Arial"/>
                <w:szCs w:val="20"/>
              </w:rPr>
              <w:t>Provide a high quality multi-disciplinary education in public administration for working professionals fr</w:t>
            </w:r>
            <w:r w:rsidR="00696E48">
              <w:rPr>
                <w:rFonts w:cs="Arial"/>
                <w:szCs w:val="20"/>
              </w:rPr>
              <w:t>om a wide range of backgrounds;</w:t>
            </w:r>
          </w:p>
          <w:p w:rsidR="00136EF6" w:rsidRPr="00696E48" w:rsidRDefault="00136EF6" w:rsidP="00696E48">
            <w:pPr>
              <w:numPr>
                <w:ilvl w:val="0"/>
                <w:numId w:val="9"/>
              </w:numPr>
              <w:spacing w:after="120"/>
              <w:rPr>
                <w:rFonts w:cs="Arial"/>
                <w:szCs w:val="20"/>
              </w:rPr>
            </w:pPr>
            <w:r w:rsidRPr="00696E48">
              <w:rPr>
                <w:rFonts w:cs="Arial"/>
                <w:szCs w:val="20"/>
              </w:rPr>
              <w:t xml:space="preserve">Provide students with a high level of knowledge and range of application skills, which will empower them to master new challenges and expand their choice of careers. </w:t>
            </w:r>
          </w:p>
          <w:p w:rsidR="00136EF6" w:rsidRPr="00696E48" w:rsidRDefault="00136EF6" w:rsidP="00696E48">
            <w:pPr>
              <w:numPr>
                <w:ilvl w:val="0"/>
                <w:numId w:val="9"/>
              </w:numPr>
              <w:spacing w:after="120"/>
              <w:rPr>
                <w:rFonts w:cs="Arial"/>
                <w:szCs w:val="20"/>
              </w:rPr>
            </w:pPr>
            <w:r w:rsidRPr="00696E48">
              <w:rPr>
                <w:rFonts w:cs="Arial"/>
                <w:szCs w:val="20"/>
              </w:rPr>
              <w:t>Provide a professionally-geared, yet academic post-graduate programme which enables students to effectively apply political analysis and economic theory to public policy.</w:t>
            </w:r>
          </w:p>
          <w:p w:rsidR="00136EF6" w:rsidRPr="00696E48" w:rsidRDefault="00136EF6" w:rsidP="00696E48">
            <w:pPr>
              <w:numPr>
                <w:ilvl w:val="0"/>
                <w:numId w:val="9"/>
              </w:numPr>
              <w:spacing w:after="120"/>
              <w:rPr>
                <w:rFonts w:cs="Arial"/>
                <w:szCs w:val="20"/>
              </w:rPr>
            </w:pPr>
            <w:r w:rsidRPr="00696E48">
              <w:rPr>
                <w:rFonts w:cs="Arial"/>
                <w:szCs w:val="20"/>
              </w:rPr>
              <w:t xml:space="preserve">Provide students with the opportunity to select areas of specialism in </w:t>
            </w:r>
            <w:r w:rsidR="00696E48">
              <w:rPr>
                <w:rFonts w:cs="Arial"/>
                <w:szCs w:val="20"/>
              </w:rPr>
              <w:t>the subjects they wish to study.</w:t>
            </w:r>
          </w:p>
          <w:p w:rsidR="00136EF6" w:rsidRPr="00696E48" w:rsidRDefault="00136EF6" w:rsidP="00696E48">
            <w:pPr>
              <w:numPr>
                <w:ilvl w:val="0"/>
                <w:numId w:val="9"/>
              </w:numPr>
              <w:spacing w:after="120"/>
              <w:rPr>
                <w:rFonts w:cs="Arial"/>
                <w:szCs w:val="20"/>
              </w:rPr>
            </w:pPr>
            <w:r w:rsidRPr="00696E48">
              <w:rPr>
                <w:rFonts w:cs="Arial"/>
                <w:szCs w:val="20"/>
              </w:rPr>
              <w:t>Provide networking opportunities with peers as well as figurehead practitioners in both the private and public sector.</w:t>
            </w:r>
          </w:p>
          <w:p w:rsidR="00136EF6" w:rsidRPr="00696E48" w:rsidRDefault="00136EF6" w:rsidP="00696E48">
            <w:pPr>
              <w:numPr>
                <w:ilvl w:val="0"/>
                <w:numId w:val="9"/>
              </w:numPr>
              <w:spacing w:after="120"/>
              <w:rPr>
                <w:rFonts w:cs="Arial"/>
                <w:szCs w:val="20"/>
              </w:rPr>
            </w:pPr>
            <w:r w:rsidRPr="00696E48">
              <w:rPr>
                <w:rFonts w:cs="Arial"/>
                <w:szCs w:val="20"/>
              </w:rPr>
              <w:t>Provide a flexible means of delivering MPA teaching to individuals in full-time employment, without compromising on the quality of the student body or on the qua</w:t>
            </w:r>
            <w:r w:rsidR="00696E48">
              <w:rPr>
                <w:rFonts w:cs="Arial"/>
                <w:szCs w:val="20"/>
              </w:rPr>
              <w:t>lity of the student experience.</w:t>
            </w:r>
          </w:p>
          <w:p w:rsidR="00136EF6" w:rsidRPr="00696E48" w:rsidRDefault="00136EF6" w:rsidP="00696E48">
            <w:pPr>
              <w:numPr>
                <w:ilvl w:val="0"/>
                <w:numId w:val="9"/>
              </w:numPr>
              <w:spacing w:after="120"/>
              <w:rPr>
                <w:rFonts w:cs="Arial"/>
                <w:szCs w:val="20"/>
              </w:rPr>
            </w:pPr>
            <w:r w:rsidRPr="00696E48">
              <w:rPr>
                <w:rFonts w:cs="Arial"/>
                <w:szCs w:val="20"/>
              </w:rPr>
              <w:t>Contribute to the School’s aims of fully utilising our teaching spaces and resources outside of standard teaching hours.</w:t>
            </w:r>
          </w:p>
          <w:p w:rsidR="00136EF6" w:rsidRPr="00696E48" w:rsidRDefault="00136EF6" w:rsidP="00696E48">
            <w:pPr>
              <w:numPr>
                <w:ilvl w:val="0"/>
                <w:numId w:val="9"/>
              </w:numPr>
              <w:spacing w:after="120"/>
              <w:rPr>
                <w:rFonts w:cs="Arial"/>
                <w:szCs w:val="20"/>
              </w:rPr>
            </w:pPr>
            <w:r w:rsidRPr="00696E48">
              <w:rPr>
                <w:rFonts w:cs="Arial"/>
                <w:szCs w:val="20"/>
              </w:rPr>
              <w:t>Provide students with an environment which actively facilitates learning both from academic teachers, practitioners and their peers.</w:t>
            </w:r>
          </w:p>
        </w:tc>
      </w:tr>
    </w:tbl>
    <w:p w:rsidR="00136EF6" w:rsidRDefault="00136EF6" w:rsidP="00136EF6">
      <w:pPr>
        <w:rPr>
          <w:rFonts w:cs="Arial"/>
          <w:b/>
          <w:bCs/>
          <w:szCs w:val="20"/>
        </w:rPr>
      </w:pPr>
    </w:p>
    <w:p w:rsidR="00696E48" w:rsidRPr="00DB51BD" w:rsidRDefault="00696E48" w:rsidP="00136EF6">
      <w:pPr>
        <w:rPr>
          <w:rFonts w:cs="Arial"/>
          <w:b/>
          <w:bCs/>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9252"/>
      </w:tblGrid>
      <w:tr w:rsidR="00136EF6" w:rsidRPr="00DB51BD" w:rsidTr="00BF4D97">
        <w:tc>
          <w:tcPr>
            <w:tcW w:w="495" w:type="dxa"/>
            <w:shd w:val="pct10" w:color="auto" w:fill="auto"/>
          </w:tcPr>
          <w:p w:rsidR="00136EF6" w:rsidRPr="00DB51BD" w:rsidRDefault="00136EF6" w:rsidP="00BF4D97">
            <w:pPr>
              <w:rPr>
                <w:rFonts w:cs="Arial"/>
                <w:b/>
                <w:bCs/>
                <w:szCs w:val="20"/>
              </w:rPr>
            </w:pPr>
            <w:r w:rsidRPr="00DB51BD">
              <w:rPr>
                <w:rFonts w:cs="Arial"/>
                <w:b/>
                <w:bCs/>
                <w:szCs w:val="20"/>
              </w:rPr>
              <w:t xml:space="preserve">11. </w:t>
            </w:r>
          </w:p>
        </w:tc>
        <w:tc>
          <w:tcPr>
            <w:tcW w:w="9252" w:type="dxa"/>
            <w:shd w:val="pct10" w:color="auto" w:fill="auto"/>
          </w:tcPr>
          <w:p w:rsidR="00136EF6" w:rsidRPr="00DB51BD" w:rsidRDefault="00136EF6" w:rsidP="00BF4D97">
            <w:pPr>
              <w:rPr>
                <w:rFonts w:cs="Arial"/>
                <w:b/>
                <w:bCs/>
                <w:szCs w:val="20"/>
              </w:rPr>
            </w:pPr>
            <w:r w:rsidRPr="00DB51BD">
              <w:rPr>
                <w:rFonts w:cs="Arial"/>
                <w:b/>
                <w:bCs/>
                <w:szCs w:val="20"/>
              </w:rPr>
              <w:t>Programme outcomes: knowledge and understanding; skills and other attributes</w:t>
            </w:r>
          </w:p>
        </w:tc>
      </w:tr>
      <w:tr w:rsidR="00136EF6" w:rsidRPr="00DB51BD" w:rsidTr="00BF4D97">
        <w:tc>
          <w:tcPr>
            <w:tcW w:w="9747" w:type="dxa"/>
            <w:gridSpan w:val="2"/>
          </w:tcPr>
          <w:p w:rsidR="00136EF6" w:rsidRPr="00696E48" w:rsidRDefault="00136EF6" w:rsidP="00696E48">
            <w:pPr>
              <w:pStyle w:val="CommentText"/>
              <w:spacing w:before="120" w:after="120"/>
              <w:rPr>
                <w:rFonts w:cs="Arial"/>
              </w:rPr>
            </w:pPr>
            <w:r w:rsidRPr="00696E48">
              <w:rPr>
                <w:rFonts w:cs="Arial"/>
              </w:rPr>
              <w:t>Students completing the programme will be able to demonstrate:</w:t>
            </w:r>
          </w:p>
          <w:p w:rsidR="00136EF6" w:rsidRPr="00696E48" w:rsidRDefault="00136EF6" w:rsidP="00696E48">
            <w:pPr>
              <w:pStyle w:val="CommentText"/>
              <w:numPr>
                <w:ilvl w:val="0"/>
                <w:numId w:val="10"/>
              </w:numPr>
              <w:spacing w:after="120"/>
              <w:rPr>
                <w:rFonts w:cs="Arial"/>
              </w:rPr>
            </w:pPr>
            <w:r w:rsidRPr="00696E48">
              <w:rPr>
                <w:rFonts w:cs="Arial"/>
              </w:rPr>
              <w:t>An advanced understanding of public administration and economic theory and how it is applied in practice.</w:t>
            </w:r>
          </w:p>
          <w:p w:rsidR="00136EF6" w:rsidRPr="00696E48" w:rsidRDefault="00136EF6" w:rsidP="00696E48">
            <w:pPr>
              <w:pStyle w:val="CommentText"/>
              <w:numPr>
                <w:ilvl w:val="0"/>
                <w:numId w:val="10"/>
              </w:numPr>
              <w:spacing w:after="120"/>
              <w:rPr>
                <w:rFonts w:cs="Arial"/>
              </w:rPr>
            </w:pPr>
            <w:r w:rsidRPr="00696E48">
              <w:rPr>
                <w:rFonts w:cs="Arial"/>
              </w:rPr>
              <w:t>An advanced substantive understanding of their selected optional areas of study.</w:t>
            </w:r>
          </w:p>
          <w:p w:rsidR="00136EF6" w:rsidRPr="00696E48" w:rsidRDefault="00136EF6" w:rsidP="00696E48">
            <w:pPr>
              <w:pStyle w:val="CommentText"/>
              <w:numPr>
                <w:ilvl w:val="0"/>
                <w:numId w:val="10"/>
              </w:numPr>
              <w:spacing w:after="120"/>
              <w:rPr>
                <w:rFonts w:cs="Arial"/>
              </w:rPr>
            </w:pPr>
            <w:r w:rsidRPr="00696E48">
              <w:rPr>
                <w:rFonts w:cs="Arial"/>
              </w:rPr>
              <w:t>An abilit</w:t>
            </w:r>
            <w:r w:rsidR="00696E48">
              <w:rPr>
                <w:rFonts w:cs="Arial"/>
              </w:rPr>
              <w:t>y to work effectively in teams.</w:t>
            </w:r>
          </w:p>
          <w:p w:rsidR="00136EF6" w:rsidRPr="00696E48" w:rsidRDefault="00136EF6" w:rsidP="00696E48">
            <w:pPr>
              <w:pStyle w:val="CommentText"/>
              <w:numPr>
                <w:ilvl w:val="0"/>
                <w:numId w:val="10"/>
              </w:numPr>
              <w:spacing w:after="120"/>
              <w:rPr>
                <w:rFonts w:cs="Arial"/>
              </w:rPr>
            </w:pPr>
            <w:r w:rsidRPr="00696E48">
              <w:rPr>
                <w:rFonts w:cs="Arial"/>
              </w:rPr>
              <w:t>Strong communications skills, both written and oral.</w:t>
            </w:r>
          </w:p>
        </w:tc>
      </w:tr>
    </w:tbl>
    <w:p w:rsidR="00696E48" w:rsidRDefault="00696E48"/>
    <w:p w:rsidR="00696E48" w:rsidRDefault="00696E48"/>
    <w:p w:rsidR="00696E48" w:rsidRDefault="00696E48">
      <w:r>
        <w:br w:type="page"/>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9252"/>
      </w:tblGrid>
      <w:tr w:rsidR="00136EF6" w:rsidRPr="00DB51BD" w:rsidTr="00BF4D97">
        <w:tc>
          <w:tcPr>
            <w:tcW w:w="495" w:type="dxa"/>
            <w:shd w:val="pct10" w:color="auto" w:fill="auto"/>
          </w:tcPr>
          <w:p w:rsidR="00136EF6" w:rsidRPr="00DB51BD" w:rsidRDefault="00136EF6" w:rsidP="00BF4D97">
            <w:pPr>
              <w:rPr>
                <w:rFonts w:cs="Arial"/>
                <w:b/>
                <w:bCs/>
                <w:szCs w:val="20"/>
              </w:rPr>
            </w:pPr>
            <w:r w:rsidRPr="00DB51BD">
              <w:rPr>
                <w:rFonts w:cs="Arial"/>
                <w:b/>
                <w:bCs/>
                <w:szCs w:val="20"/>
              </w:rPr>
              <w:lastRenderedPageBreak/>
              <w:t xml:space="preserve">12. </w:t>
            </w:r>
          </w:p>
        </w:tc>
        <w:tc>
          <w:tcPr>
            <w:tcW w:w="9252" w:type="dxa"/>
            <w:shd w:val="pct10" w:color="auto" w:fill="auto"/>
          </w:tcPr>
          <w:p w:rsidR="00136EF6" w:rsidRPr="00DB51BD" w:rsidRDefault="00136EF6" w:rsidP="00BF4D97">
            <w:pPr>
              <w:rPr>
                <w:rFonts w:cs="Arial"/>
                <w:b/>
                <w:bCs/>
                <w:szCs w:val="20"/>
              </w:rPr>
            </w:pPr>
            <w:r w:rsidRPr="00DB51BD">
              <w:rPr>
                <w:rFonts w:cs="Arial"/>
                <w:b/>
                <w:bCs/>
                <w:szCs w:val="20"/>
              </w:rPr>
              <w:t>Teaching, learning and assessment strategies to enable outcomes to be achieved and demonstrated</w:t>
            </w:r>
          </w:p>
        </w:tc>
      </w:tr>
      <w:tr w:rsidR="00136EF6" w:rsidRPr="00DB51BD" w:rsidTr="00BF4D97">
        <w:tc>
          <w:tcPr>
            <w:tcW w:w="9747" w:type="dxa"/>
            <w:gridSpan w:val="2"/>
          </w:tcPr>
          <w:p w:rsidR="00136EF6" w:rsidRDefault="00136EF6" w:rsidP="00696E48">
            <w:pPr>
              <w:tabs>
                <w:tab w:val="left" w:pos="-720"/>
              </w:tabs>
              <w:suppressAutoHyphens/>
              <w:spacing w:before="120" w:after="120"/>
              <w:rPr>
                <w:rFonts w:cs="Arial"/>
                <w:b/>
                <w:bCs/>
                <w:spacing w:val="-2"/>
                <w:szCs w:val="20"/>
              </w:rPr>
            </w:pPr>
            <w:r w:rsidRPr="00DB51BD">
              <w:rPr>
                <w:rFonts w:cs="Arial"/>
                <w:b/>
                <w:bCs/>
                <w:iCs/>
                <w:spacing w:val="-2"/>
                <w:szCs w:val="20"/>
              </w:rPr>
              <w:t>Teaching and learning strategies</w:t>
            </w:r>
            <w:r w:rsidRPr="00DB51BD">
              <w:rPr>
                <w:rFonts w:cs="Arial"/>
                <w:b/>
                <w:bCs/>
                <w:spacing w:val="-2"/>
                <w:szCs w:val="20"/>
              </w:rPr>
              <w:t>:</w:t>
            </w:r>
          </w:p>
          <w:p w:rsidR="00136EF6" w:rsidRPr="00696E48" w:rsidRDefault="00136EF6" w:rsidP="00696E48">
            <w:pPr>
              <w:pStyle w:val="ListParagraph"/>
              <w:numPr>
                <w:ilvl w:val="0"/>
                <w:numId w:val="6"/>
              </w:numPr>
              <w:tabs>
                <w:tab w:val="left" w:pos="-720"/>
              </w:tabs>
              <w:suppressAutoHyphens/>
              <w:spacing w:after="120"/>
              <w:ind w:left="709" w:hanging="357"/>
              <w:contextualSpacing w:val="0"/>
              <w:rPr>
                <w:rFonts w:ascii="Arial" w:hAnsi="Arial" w:cs="Arial"/>
                <w:sz w:val="20"/>
                <w:szCs w:val="20"/>
                <w:lang w:eastAsia="en-US"/>
              </w:rPr>
            </w:pPr>
            <w:r w:rsidRPr="00696E48">
              <w:rPr>
                <w:rFonts w:ascii="Arial" w:hAnsi="Arial" w:cs="Arial"/>
                <w:sz w:val="20"/>
                <w:szCs w:val="20"/>
                <w:lang w:eastAsia="en-US"/>
              </w:rPr>
              <w:t xml:space="preserve">The teaching methods for the EMPA consist of lectures, seminars, case studies, teamwork exercises and presentations.  The seminar classes for each of the modules will encourage student participation through problem solving.  </w:t>
            </w:r>
          </w:p>
          <w:p w:rsidR="00136EF6" w:rsidRPr="00696E48" w:rsidRDefault="00136EF6" w:rsidP="00696E48">
            <w:pPr>
              <w:pStyle w:val="ListParagraph"/>
              <w:numPr>
                <w:ilvl w:val="0"/>
                <w:numId w:val="6"/>
              </w:numPr>
              <w:tabs>
                <w:tab w:val="left" w:pos="-720"/>
              </w:tabs>
              <w:suppressAutoHyphens/>
              <w:spacing w:after="120"/>
              <w:ind w:left="709" w:hanging="357"/>
              <w:contextualSpacing w:val="0"/>
              <w:rPr>
                <w:rFonts w:ascii="Arial" w:hAnsi="Arial" w:cs="Arial"/>
                <w:sz w:val="20"/>
                <w:szCs w:val="20"/>
                <w:lang w:eastAsia="en-US"/>
              </w:rPr>
            </w:pPr>
            <w:r w:rsidRPr="00696E48">
              <w:rPr>
                <w:rFonts w:ascii="Arial" w:hAnsi="Arial" w:cs="Arial"/>
                <w:sz w:val="20"/>
                <w:szCs w:val="20"/>
                <w:lang w:eastAsia="en-US"/>
              </w:rPr>
              <w:t>The majority of modules provided will be based on existing MPA modules.  However, the teaching and delivery is expected to be more challenging for the academics, as the students will be older, more confident and significantly more experienced.</w:t>
            </w:r>
          </w:p>
          <w:p w:rsidR="00136EF6" w:rsidRPr="00696E48" w:rsidRDefault="00136EF6" w:rsidP="00696E48">
            <w:pPr>
              <w:pStyle w:val="ListParagraph"/>
              <w:numPr>
                <w:ilvl w:val="0"/>
                <w:numId w:val="6"/>
              </w:numPr>
              <w:tabs>
                <w:tab w:val="left" w:pos="-720"/>
              </w:tabs>
              <w:suppressAutoHyphens/>
              <w:spacing w:after="120"/>
              <w:ind w:left="709" w:hanging="357"/>
              <w:contextualSpacing w:val="0"/>
              <w:rPr>
                <w:rFonts w:ascii="Arial" w:hAnsi="Arial" w:cs="Arial"/>
                <w:sz w:val="20"/>
                <w:szCs w:val="20"/>
                <w:lang w:eastAsia="en-US"/>
              </w:rPr>
            </w:pPr>
            <w:r w:rsidRPr="00696E48">
              <w:rPr>
                <w:rFonts w:ascii="Arial" w:hAnsi="Arial" w:cs="Arial"/>
                <w:sz w:val="20"/>
                <w:szCs w:val="20"/>
                <w:lang w:eastAsia="en-US"/>
              </w:rPr>
              <w:t>The teaching of the modules will be in modular blocks of 25 hours.  This is more than the current standard of 20 hours for MPA half units.</w:t>
            </w:r>
          </w:p>
          <w:p w:rsidR="00136EF6" w:rsidRPr="00696E48" w:rsidRDefault="00136EF6" w:rsidP="00696E48">
            <w:pPr>
              <w:pStyle w:val="ListParagraph"/>
              <w:numPr>
                <w:ilvl w:val="0"/>
                <w:numId w:val="6"/>
              </w:numPr>
              <w:tabs>
                <w:tab w:val="left" w:pos="-720"/>
              </w:tabs>
              <w:suppressAutoHyphens/>
              <w:spacing w:after="120"/>
              <w:ind w:left="709" w:hanging="357"/>
              <w:contextualSpacing w:val="0"/>
              <w:rPr>
                <w:rFonts w:ascii="Arial" w:hAnsi="Arial" w:cs="Arial"/>
                <w:sz w:val="20"/>
                <w:szCs w:val="20"/>
                <w:lang w:eastAsia="en-US"/>
              </w:rPr>
            </w:pPr>
            <w:r w:rsidRPr="00696E48">
              <w:rPr>
                <w:rFonts w:ascii="Arial" w:hAnsi="Arial" w:cs="Arial"/>
                <w:sz w:val="20"/>
                <w:szCs w:val="20"/>
                <w:lang w:eastAsia="en-US"/>
              </w:rPr>
              <w:t>If an optional module fails to attract more than 8 students the Directors of the Programme will retain the right to cancel the delivery of that module.  The students will be informed of this in the marketing materials, prior to applying to the programme.  Student optional module preference will be established and modules to be run will be confirmed at least six months in advance.</w:t>
            </w:r>
          </w:p>
          <w:p w:rsidR="00136EF6" w:rsidRPr="00696E48" w:rsidRDefault="00136EF6" w:rsidP="00696E48">
            <w:pPr>
              <w:pStyle w:val="ListParagraph"/>
              <w:numPr>
                <w:ilvl w:val="0"/>
                <w:numId w:val="6"/>
              </w:numPr>
              <w:tabs>
                <w:tab w:val="left" w:pos="-720"/>
              </w:tabs>
              <w:suppressAutoHyphens/>
              <w:spacing w:after="120"/>
              <w:ind w:left="709" w:hanging="357"/>
              <w:contextualSpacing w:val="0"/>
              <w:rPr>
                <w:rFonts w:ascii="Arial" w:hAnsi="Arial" w:cs="Arial"/>
                <w:sz w:val="20"/>
                <w:szCs w:val="20"/>
                <w:lang w:eastAsia="en-US"/>
              </w:rPr>
            </w:pPr>
            <w:r w:rsidRPr="00696E48">
              <w:rPr>
                <w:rFonts w:ascii="Arial" w:hAnsi="Arial" w:cs="Arial"/>
                <w:sz w:val="20"/>
                <w:szCs w:val="20"/>
                <w:lang w:eastAsia="en-US"/>
              </w:rPr>
              <w:t>The EMPA will provide students with support from an allocated supervisor for the duration of their studies, with whom they will be able to discuss progress and receive guidance on academic and personal concerns.</w:t>
            </w:r>
          </w:p>
          <w:p w:rsidR="00136EF6" w:rsidRPr="00696E48" w:rsidRDefault="00136EF6" w:rsidP="00696E48">
            <w:pPr>
              <w:pStyle w:val="ListParagraph"/>
              <w:numPr>
                <w:ilvl w:val="0"/>
                <w:numId w:val="6"/>
              </w:numPr>
              <w:tabs>
                <w:tab w:val="left" w:pos="-720"/>
              </w:tabs>
              <w:suppressAutoHyphens/>
              <w:spacing w:after="120"/>
              <w:ind w:left="709" w:hanging="357"/>
              <w:contextualSpacing w:val="0"/>
              <w:rPr>
                <w:rFonts w:ascii="Arial" w:hAnsi="Arial" w:cs="Arial"/>
                <w:sz w:val="20"/>
                <w:szCs w:val="20"/>
                <w:lang w:eastAsia="en-US"/>
              </w:rPr>
            </w:pPr>
            <w:r w:rsidRPr="00696E48">
              <w:rPr>
                <w:rFonts w:ascii="Arial" w:hAnsi="Arial" w:cs="Arial"/>
                <w:sz w:val="20"/>
                <w:szCs w:val="20"/>
                <w:lang w:eastAsia="en-US"/>
              </w:rPr>
              <w:t>The Programme Directors will meet with each teacher of a module prior to the delivery to agree teaching strategy.  They will also meet with each teacher following the completion of a module to discuss class feedback.</w:t>
            </w:r>
          </w:p>
          <w:p w:rsidR="00136EF6" w:rsidRPr="00696E48" w:rsidRDefault="00136EF6" w:rsidP="00696E48">
            <w:pPr>
              <w:pStyle w:val="ListParagraph"/>
              <w:numPr>
                <w:ilvl w:val="0"/>
                <w:numId w:val="6"/>
              </w:numPr>
              <w:tabs>
                <w:tab w:val="left" w:pos="-720"/>
              </w:tabs>
              <w:suppressAutoHyphens/>
              <w:spacing w:after="120"/>
              <w:ind w:left="709" w:hanging="357"/>
              <w:contextualSpacing w:val="0"/>
              <w:rPr>
                <w:rFonts w:ascii="Arial" w:hAnsi="Arial" w:cs="Arial"/>
                <w:sz w:val="20"/>
                <w:szCs w:val="20"/>
                <w:lang w:eastAsia="en-US"/>
              </w:rPr>
            </w:pPr>
            <w:r w:rsidRPr="00696E48">
              <w:rPr>
                <w:rFonts w:ascii="Arial" w:hAnsi="Arial" w:cs="Arial"/>
                <w:sz w:val="20"/>
                <w:szCs w:val="20"/>
                <w:lang w:eastAsia="en-US"/>
              </w:rPr>
              <w:t>All of the EMPA modules will be on Moodle and the Centre for Learning Technology have been consulted regarding the range of other distance learning tools that are available.  The costs associated with using these technologies have been factored into the final budget for the programme.</w:t>
            </w:r>
          </w:p>
          <w:p w:rsidR="00136EF6" w:rsidRPr="00DB51BD" w:rsidRDefault="00136EF6" w:rsidP="00696E48">
            <w:pPr>
              <w:tabs>
                <w:tab w:val="left" w:pos="-720"/>
              </w:tabs>
              <w:suppressAutoHyphens/>
              <w:spacing w:after="120"/>
              <w:rPr>
                <w:rFonts w:cs="Arial"/>
                <w:b/>
                <w:bCs/>
                <w:spacing w:val="-2"/>
                <w:szCs w:val="20"/>
              </w:rPr>
            </w:pPr>
            <w:r w:rsidRPr="00DB51BD">
              <w:rPr>
                <w:rFonts w:cs="Arial"/>
                <w:b/>
                <w:bCs/>
                <w:iCs/>
                <w:spacing w:val="-2"/>
                <w:szCs w:val="20"/>
              </w:rPr>
              <w:t>Assessment strategies</w:t>
            </w:r>
            <w:r w:rsidRPr="00DB51BD">
              <w:rPr>
                <w:rFonts w:cs="Arial"/>
                <w:b/>
                <w:bCs/>
                <w:spacing w:val="-2"/>
                <w:szCs w:val="20"/>
              </w:rPr>
              <w:t>:</w:t>
            </w:r>
          </w:p>
          <w:p w:rsidR="00136EF6" w:rsidRPr="00696E48" w:rsidRDefault="00136EF6" w:rsidP="00696E48">
            <w:pPr>
              <w:pStyle w:val="ListParagraph"/>
              <w:numPr>
                <w:ilvl w:val="0"/>
                <w:numId w:val="7"/>
              </w:numPr>
              <w:tabs>
                <w:tab w:val="left" w:pos="-720"/>
              </w:tabs>
              <w:suppressAutoHyphens/>
              <w:spacing w:after="120"/>
              <w:ind w:left="709"/>
              <w:rPr>
                <w:rFonts w:ascii="Arial" w:hAnsi="Arial" w:cs="Arial"/>
                <w:sz w:val="20"/>
                <w:szCs w:val="20"/>
                <w:lang w:eastAsia="en-US"/>
              </w:rPr>
            </w:pPr>
            <w:r w:rsidRPr="00696E48">
              <w:rPr>
                <w:rFonts w:ascii="Arial" w:hAnsi="Arial" w:cs="Arial"/>
                <w:sz w:val="20"/>
                <w:szCs w:val="20"/>
                <w:lang w:eastAsia="en-US"/>
              </w:rPr>
              <w:t xml:space="preserve">The assessment for each module is outlined in section 3.4 and in the course guides attached at </w:t>
            </w:r>
            <w:r w:rsidR="00696E48">
              <w:rPr>
                <w:rFonts w:ascii="Arial" w:hAnsi="Arial" w:cs="Arial"/>
                <w:sz w:val="20"/>
                <w:szCs w:val="20"/>
                <w:lang w:eastAsia="en-US"/>
              </w:rPr>
              <w:br/>
            </w:r>
            <w:r w:rsidRPr="00696E48">
              <w:rPr>
                <w:rFonts w:ascii="Arial" w:hAnsi="Arial" w:cs="Arial"/>
                <w:sz w:val="20"/>
                <w:szCs w:val="20"/>
                <w:lang w:eastAsia="en-US"/>
              </w:rPr>
              <w:t>Annex D.  The assessment methods include assessed essays, assessed data exercises and group presentations.  Student feedback for assessed work will be provided in the same way as for the standard MPA Programme.</w:t>
            </w:r>
          </w:p>
        </w:tc>
      </w:tr>
    </w:tbl>
    <w:p w:rsidR="00136EF6" w:rsidRDefault="00136EF6" w:rsidP="00136EF6">
      <w:pPr>
        <w:rPr>
          <w:rFonts w:cs="Arial"/>
          <w:b/>
          <w:bCs/>
          <w:szCs w:val="20"/>
        </w:rPr>
      </w:pPr>
    </w:p>
    <w:p w:rsidR="00136EF6" w:rsidRPr="00DB51BD" w:rsidRDefault="00136EF6" w:rsidP="00136EF6">
      <w:pPr>
        <w:rPr>
          <w:rFonts w:cs="Arial"/>
          <w:b/>
          <w:bCs/>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9252"/>
      </w:tblGrid>
      <w:tr w:rsidR="00136EF6" w:rsidRPr="00DB51BD" w:rsidTr="00BF4D97">
        <w:tc>
          <w:tcPr>
            <w:tcW w:w="495" w:type="dxa"/>
            <w:shd w:val="pct10" w:color="auto" w:fill="auto"/>
          </w:tcPr>
          <w:p w:rsidR="00136EF6" w:rsidRPr="00DB51BD" w:rsidRDefault="00136EF6" w:rsidP="00BF4D97">
            <w:pPr>
              <w:rPr>
                <w:rFonts w:cs="Arial"/>
                <w:b/>
                <w:bCs/>
                <w:szCs w:val="20"/>
              </w:rPr>
            </w:pPr>
            <w:r w:rsidRPr="00DB51BD">
              <w:rPr>
                <w:rFonts w:cs="Arial"/>
                <w:b/>
                <w:bCs/>
                <w:szCs w:val="20"/>
              </w:rPr>
              <w:t xml:space="preserve">13. </w:t>
            </w:r>
          </w:p>
        </w:tc>
        <w:tc>
          <w:tcPr>
            <w:tcW w:w="9252" w:type="dxa"/>
            <w:shd w:val="pct10" w:color="auto" w:fill="auto"/>
          </w:tcPr>
          <w:p w:rsidR="00136EF6" w:rsidRPr="00DB51BD" w:rsidRDefault="00136EF6" w:rsidP="00BF4D97">
            <w:pPr>
              <w:rPr>
                <w:rFonts w:cs="Arial"/>
                <w:b/>
                <w:bCs/>
                <w:szCs w:val="20"/>
              </w:rPr>
            </w:pPr>
            <w:r w:rsidRPr="00DB51BD">
              <w:rPr>
                <w:rFonts w:cs="Arial"/>
                <w:b/>
                <w:bCs/>
                <w:szCs w:val="20"/>
              </w:rPr>
              <w:t>Programme structures and requirements, levels, modules and awards</w:t>
            </w:r>
          </w:p>
        </w:tc>
      </w:tr>
      <w:tr w:rsidR="00136EF6" w:rsidRPr="00DB51BD" w:rsidTr="00BF4D97">
        <w:tc>
          <w:tcPr>
            <w:tcW w:w="9747" w:type="dxa"/>
            <w:gridSpan w:val="2"/>
          </w:tcPr>
          <w:p w:rsidR="00136EF6" w:rsidRPr="00696E48" w:rsidRDefault="00444F8D" w:rsidP="00696E48">
            <w:pPr>
              <w:pStyle w:val="NormalWeb"/>
              <w:spacing w:before="120" w:beforeAutospacing="0" w:after="120" w:afterAutospacing="0"/>
              <w:rPr>
                <w:rFonts w:ascii="Arial" w:hAnsi="Arial" w:cs="Arial"/>
                <w:sz w:val="20"/>
                <w:szCs w:val="20"/>
              </w:rPr>
            </w:pPr>
            <w:hyperlink r:id="rId8" w:history="1">
              <w:r w:rsidR="00696E48" w:rsidRPr="00696E48">
                <w:rPr>
                  <w:rStyle w:val="Hyperlink"/>
                  <w:rFonts w:ascii="Arial" w:hAnsi="Arial" w:cs="Arial"/>
                  <w:sz w:val="20"/>
                  <w:szCs w:val="20"/>
                </w:rPr>
                <w:t>Executive Master of Public Administration</w:t>
              </w:r>
            </w:hyperlink>
          </w:p>
        </w:tc>
      </w:tr>
    </w:tbl>
    <w:p w:rsidR="00136EF6" w:rsidRPr="00DB51BD" w:rsidRDefault="00136EF6" w:rsidP="00136EF6">
      <w:pPr>
        <w:rPr>
          <w:rFonts w:cs="Arial"/>
          <w:b/>
          <w:bCs/>
          <w:szCs w:val="20"/>
        </w:rPr>
      </w:pPr>
    </w:p>
    <w:p w:rsidR="00136EF6" w:rsidRDefault="00136EF6" w:rsidP="00136EF6">
      <w:pPr>
        <w:rPr>
          <w:rFonts w:cs="Arial"/>
          <w:b/>
          <w:bCs/>
          <w:szCs w:val="20"/>
        </w:rPr>
      </w:pPr>
    </w:p>
    <w:p w:rsidR="00136EF6" w:rsidRDefault="00136EF6" w:rsidP="00136EF6">
      <w:pPr>
        <w:rPr>
          <w:rFonts w:cs="Arial"/>
          <w:b/>
          <w:bCs/>
          <w:szCs w:val="20"/>
        </w:rPr>
      </w:pPr>
      <w:r w:rsidRPr="00DB51BD">
        <w:rPr>
          <w:rFonts w:cs="Arial"/>
          <w:b/>
          <w:bCs/>
          <w:szCs w:val="20"/>
        </w:rPr>
        <w:t>Additional information</w:t>
      </w:r>
    </w:p>
    <w:p w:rsidR="00136EF6" w:rsidRPr="00DB51BD" w:rsidRDefault="00136EF6" w:rsidP="00136EF6">
      <w:pPr>
        <w:rPr>
          <w:rFonts w:cs="Arial"/>
          <w:b/>
          <w:bCs/>
          <w:szCs w:val="20"/>
        </w:rPr>
      </w:pPr>
    </w:p>
    <w:p w:rsidR="00136EF6" w:rsidRPr="00DB51BD" w:rsidRDefault="00136EF6" w:rsidP="00136EF6">
      <w:pPr>
        <w:rPr>
          <w:rFonts w:cs="Arial"/>
          <w:b/>
          <w:bCs/>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9252"/>
      </w:tblGrid>
      <w:tr w:rsidR="00136EF6" w:rsidRPr="00DB51BD" w:rsidTr="00BF4D97">
        <w:tc>
          <w:tcPr>
            <w:tcW w:w="495" w:type="dxa"/>
            <w:shd w:val="pct10" w:color="auto" w:fill="auto"/>
          </w:tcPr>
          <w:p w:rsidR="00136EF6" w:rsidRPr="00DB51BD" w:rsidRDefault="00136EF6" w:rsidP="00BF4D97">
            <w:pPr>
              <w:rPr>
                <w:rFonts w:cs="Arial"/>
                <w:b/>
                <w:bCs/>
                <w:szCs w:val="20"/>
              </w:rPr>
            </w:pPr>
            <w:r w:rsidRPr="00DB51BD">
              <w:rPr>
                <w:rFonts w:cs="Arial"/>
                <w:b/>
                <w:bCs/>
                <w:szCs w:val="20"/>
              </w:rPr>
              <w:t xml:space="preserve">14. </w:t>
            </w:r>
          </w:p>
        </w:tc>
        <w:tc>
          <w:tcPr>
            <w:tcW w:w="9252" w:type="dxa"/>
            <w:shd w:val="pct10" w:color="auto" w:fill="auto"/>
          </w:tcPr>
          <w:p w:rsidR="00136EF6" w:rsidRPr="00DB51BD" w:rsidRDefault="00136EF6" w:rsidP="00BF4D97">
            <w:pPr>
              <w:rPr>
                <w:rFonts w:cs="Arial"/>
                <w:b/>
                <w:bCs/>
                <w:szCs w:val="20"/>
              </w:rPr>
            </w:pPr>
            <w:r w:rsidRPr="00DB51BD">
              <w:rPr>
                <w:rFonts w:cs="Arial"/>
                <w:b/>
                <w:bCs/>
                <w:szCs w:val="20"/>
              </w:rPr>
              <w:t>Criteria for admission to the programme</w:t>
            </w:r>
          </w:p>
        </w:tc>
      </w:tr>
      <w:tr w:rsidR="00136EF6" w:rsidRPr="00DB51BD" w:rsidTr="00BF4D97">
        <w:tc>
          <w:tcPr>
            <w:tcW w:w="9747" w:type="dxa"/>
            <w:gridSpan w:val="2"/>
          </w:tcPr>
          <w:p w:rsidR="00136EF6" w:rsidRPr="00696E48" w:rsidRDefault="00136EF6" w:rsidP="00696E48">
            <w:pPr>
              <w:pStyle w:val="ListParagraph"/>
              <w:numPr>
                <w:ilvl w:val="0"/>
                <w:numId w:val="11"/>
              </w:numPr>
              <w:spacing w:before="120" w:after="120"/>
              <w:contextualSpacing w:val="0"/>
              <w:rPr>
                <w:rFonts w:ascii="Arial" w:hAnsi="Arial" w:cs="Arial"/>
                <w:sz w:val="20"/>
                <w:szCs w:val="20"/>
                <w:lang w:eastAsia="en-US"/>
              </w:rPr>
            </w:pPr>
            <w:r w:rsidRPr="00696E48">
              <w:rPr>
                <w:rFonts w:ascii="Arial" w:hAnsi="Arial" w:cs="Arial"/>
                <w:sz w:val="20"/>
                <w:szCs w:val="20"/>
                <w:lang w:eastAsia="en-US"/>
              </w:rPr>
              <w:t xml:space="preserve">Minimum 2.1 undergraduate degree (or its equivalent) in any discipline </w:t>
            </w:r>
          </w:p>
          <w:p w:rsidR="00136EF6" w:rsidRPr="00696E48" w:rsidRDefault="00136EF6" w:rsidP="00696E48">
            <w:pPr>
              <w:pStyle w:val="ListParagraph"/>
              <w:numPr>
                <w:ilvl w:val="0"/>
                <w:numId w:val="11"/>
              </w:numPr>
              <w:spacing w:after="120"/>
              <w:contextualSpacing w:val="0"/>
              <w:rPr>
                <w:rFonts w:ascii="Arial" w:hAnsi="Arial" w:cs="Arial"/>
                <w:sz w:val="20"/>
                <w:szCs w:val="20"/>
                <w:lang w:eastAsia="en-US"/>
              </w:rPr>
            </w:pPr>
            <w:r w:rsidRPr="00696E48">
              <w:rPr>
                <w:rFonts w:ascii="Arial" w:hAnsi="Arial" w:cs="Arial"/>
                <w:sz w:val="20"/>
                <w:szCs w:val="20"/>
                <w:lang w:eastAsia="en-US"/>
              </w:rPr>
              <w:t>Minimum 5 years work experience with indication of support from employer to take time out of the office to attend the modules</w:t>
            </w:r>
          </w:p>
          <w:p w:rsidR="00136EF6" w:rsidRPr="00696E48" w:rsidRDefault="00136EF6" w:rsidP="00696E48">
            <w:pPr>
              <w:pStyle w:val="ListParagraph"/>
              <w:numPr>
                <w:ilvl w:val="0"/>
                <w:numId w:val="11"/>
              </w:numPr>
              <w:spacing w:after="120"/>
              <w:contextualSpacing w:val="0"/>
              <w:rPr>
                <w:rFonts w:ascii="Arial" w:hAnsi="Arial" w:cs="Arial"/>
                <w:sz w:val="20"/>
                <w:szCs w:val="20"/>
                <w:lang w:eastAsia="en-US"/>
              </w:rPr>
            </w:pPr>
            <w:r w:rsidRPr="00696E48">
              <w:rPr>
                <w:rFonts w:ascii="Arial" w:hAnsi="Arial" w:cs="Arial"/>
                <w:sz w:val="20"/>
                <w:szCs w:val="20"/>
                <w:lang w:eastAsia="en-US"/>
              </w:rPr>
              <w:t>Two academic references (supplemented by an optional professional reference)</w:t>
            </w:r>
          </w:p>
          <w:p w:rsidR="00136EF6" w:rsidRPr="00696E48" w:rsidRDefault="00136EF6" w:rsidP="00696E48">
            <w:pPr>
              <w:pStyle w:val="ListParagraph"/>
              <w:numPr>
                <w:ilvl w:val="0"/>
                <w:numId w:val="11"/>
              </w:numPr>
              <w:spacing w:after="120"/>
              <w:contextualSpacing w:val="0"/>
              <w:rPr>
                <w:rFonts w:ascii="Arial" w:hAnsi="Arial" w:cs="Arial"/>
                <w:sz w:val="20"/>
                <w:szCs w:val="20"/>
                <w:lang w:eastAsia="en-US"/>
              </w:rPr>
            </w:pPr>
            <w:r w:rsidRPr="00696E48">
              <w:rPr>
                <w:rFonts w:ascii="Arial" w:hAnsi="Arial" w:cs="Arial"/>
                <w:sz w:val="20"/>
                <w:szCs w:val="20"/>
                <w:lang w:eastAsia="en-US"/>
              </w:rPr>
              <w:t>Personal statement explaining the candidate’s interest and suitability for the programme, including career achievements and ambitions</w:t>
            </w:r>
          </w:p>
          <w:p w:rsidR="00136EF6" w:rsidRPr="00696E48" w:rsidRDefault="00136EF6" w:rsidP="00696E48">
            <w:pPr>
              <w:pStyle w:val="ListParagraph"/>
              <w:numPr>
                <w:ilvl w:val="0"/>
                <w:numId w:val="11"/>
              </w:numPr>
              <w:spacing w:after="120"/>
              <w:contextualSpacing w:val="0"/>
              <w:rPr>
                <w:rFonts w:ascii="Arial" w:hAnsi="Arial" w:cs="Arial"/>
                <w:sz w:val="20"/>
                <w:szCs w:val="20"/>
                <w:lang w:eastAsia="en-US"/>
              </w:rPr>
            </w:pPr>
            <w:r w:rsidRPr="00696E48">
              <w:rPr>
                <w:rFonts w:ascii="Arial" w:hAnsi="Arial" w:cs="Arial"/>
                <w:sz w:val="20"/>
                <w:szCs w:val="20"/>
                <w:lang w:eastAsia="en-US"/>
              </w:rPr>
              <w:t>Resume or Curriculum Vitae</w:t>
            </w:r>
          </w:p>
          <w:p w:rsidR="00136EF6" w:rsidRPr="00DB51BD" w:rsidRDefault="00136EF6" w:rsidP="00696E48">
            <w:pPr>
              <w:pStyle w:val="ListParagraph"/>
              <w:numPr>
                <w:ilvl w:val="0"/>
                <w:numId w:val="11"/>
              </w:numPr>
              <w:spacing w:after="120"/>
              <w:contextualSpacing w:val="0"/>
              <w:rPr>
                <w:rFonts w:cs="Arial"/>
                <w:i/>
                <w:spacing w:val="-2"/>
                <w:szCs w:val="20"/>
              </w:rPr>
            </w:pPr>
            <w:r w:rsidRPr="00696E48">
              <w:rPr>
                <w:rFonts w:ascii="Arial" w:hAnsi="Arial" w:cs="Arial"/>
                <w:sz w:val="20"/>
                <w:szCs w:val="20"/>
                <w:lang w:eastAsia="en-US"/>
              </w:rPr>
              <w:t>Higher English Language Requirement (7.0 in IELTS (at least 5.5 in each section) or 107 in the internet-based TOEFL test (at least 17 in listening and writing, 18 in reading and 20 in speaking))</w:t>
            </w:r>
          </w:p>
        </w:tc>
      </w:tr>
    </w:tbl>
    <w:p w:rsidR="00136EF6" w:rsidRDefault="00136EF6" w:rsidP="00136EF6">
      <w:pPr>
        <w:rPr>
          <w:rFonts w:cs="Arial"/>
          <w:b/>
          <w:bCs/>
          <w:szCs w:val="20"/>
        </w:rPr>
      </w:pPr>
    </w:p>
    <w:p w:rsidR="00136EF6" w:rsidRDefault="00136EF6" w:rsidP="00136EF6">
      <w:pPr>
        <w:rPr>
          <w:rFonts w:cs="Arial"/>
          <w:b/>
          <w:bCs/>
          <w:szCs w:val="20"/>
        </w:rPr>
      </w:pPr>
    </w:p>
    <w:p w:rsidR="00136EF6" w:rsidRPr="00DB51BD" w:rsidRDefault="00136EF6" w:rsidP="00136EF6">
      <w:pPr>
        <w:rPr>
          <w:rFonts w:cs="Arial"/>
          <w:b/>
          <w:bCs/>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9213"/>
      </w:tblGrid>
      <w:tr w:rsidR="00136EF6" w:rsidRPr="00DB51BD" w:rsidTr="00696E48">
        <w:tc>
          <w:tcPr>
            <w:tcW w:w="534" w:type="dxa"/>
            <w:shd w:val="pct10" w:color="auto" w:fill="auto"/>
          </w:tcPr>
          <w:p w:rsidR="00136EF6" w:rsidRPr="00DB51BD" w:rsidRDefault="00136EF6" w:rsidP="00696E48">
            <w:pPr>
              <w:rPr>
                <w:rFonts w:cs="Arial"/>
                <w:b/>
                <w:bCs/>
                <w:szCs w:val="20"/>
              </w:rPr>
            </w:pPr>
            <w:r w:rsidRPr="00DB51BD">
              <w:rPr>
                <w:rFonts w:cs="Arial"/>
                <w:b/>
                <w:bCs/>
                <w:szCs w:val="20"/>
              </w:rPr>
              <w:lastRenderedPageBreak/>
              <w:t xml:space="preserve">15. </w:t>
            </w:r>
          </w:p>
        </w:tc>
        <w:tc>
          <w:tcPr>
            <w:tcW w:w="9213" w:type="dxa"/>
            <w:shd w:val="pct10" w:color="auto" w:fill="auto"/>
          </w:tcPr>
          <w:p w:rsidR="00136EF6" w:rsidRPr="00DB51BD" w:rsidRDefault="00136EF6" w:rsidP="00696E48">
            <w:pPr>
              <w:rPr>
                <w:rFonts w:cs="Arial"/>
                <w:b/>
                <w:bCs/>
                <w:szCs w:val="20"/>
              </w:rPr>
            </w:pPr>
            <w:r w:rsidRPr="00DB51BD">
              <w:rPr>
                <w:rFonts w:cs="Arial"/>
                <w:b/>
                <w:bCs/>
                <w:szCs w:val="20"/>
              </w:rPr>
              <w:t>Indicators of quality</w:t>
            </w:r>
          </w:p>
        </w:tc>
      </w:tr>
      <w:tr w:rsidR="00136EF6" w:rsidRPr="00DB51BD" w:rsidTr="00696E48">
        <w:tc>
          <w:tcPr>
            <w:tcW w:w="9747" w:type="dxa"/>
            <w:gridSpan w:val="2"/>
          </w:tcPr>
          <w:p w:rsidR="00136EF6" w:rsidRDefault="00136EF6" w:rsidP="00696E48">
            <w:pPr>
              <w:spacing w:before="120" w:after="120"/>
              <w:rPr>
                <w:rFonts w:cs="Arial"/>
                <w:szCs w:val="20"/>
              </w:rPr>
            </w:pPr>
            <w:r w:rsidRPr="00696E48">
              <w:rPr>
                <w:rFonts w:cs="Arial"/>
                <w:szCs w:val="20"/>
              </w:rPr>
              <w:t>Indicators of quality on the current MPA programme streams include:</w:t>
            </w:r>
          </w:p>
          <w:p w:rsidR="00136EF6" w:rsidRPr="00696E48" w:rsidRDefault="00136EF6" w:rsidP="00696E48">
            <w:pPr>
              <w:numPr>
                <w:ilvl w:val="0"/>
                <w:numId w:val="8"/>
              </w:numPr>
              <w:spacing w:after="120"/>
              <w:ind w:left="709"/>
              <w:rPr>
                <w:rFonts w:cs="Arial"/>
                <w:szCs w:val="20"/>
              </w:rPr>
            </w:pPr>
            <w:r w:rsidRPr="00696E48">
              <w:rPr>
                <w:rFonts w:cs="Arial"/>
                <w:szCs w:val="20"/>
              </w:rPr>
              <w:t>Robust levels of demand for the programmes, e.g. the International Development stream has typically received 200+ first choice applications for an intake target of  20 places:</w:t>
            </w:r>
            <w:r w:rsidRPr="00696E48">
              <w:rPr>
                <w:rFonts w:cs="Arial"/>
                <w:szCs w:val="20"/>
              </w:rPr>
              <w:br/>
            </w:r>
            <w:hyperlink r:id="rId9" w:history="1">
              <w:r w:rsidRPr="00696E48">
                <w:rPr>
                  <w:rStyle w:val="Hyperlink"/>
                  <w:szCs w:val="20"/>
                </w:rPr>
                <w:t>www2.lse.ac.uk/intranet/LSEServices/planningUnit/internal/staff/RollingPlans/AnnexB.pdf</w:t>
              </w:r>
            </w:hyperlink>
            <w:r w:rsidR="00696E48">
              <w:rPr>
                <w:rFonts w:cs="Arial"/>
                <w:szCs w:val="20"/>
              </w:rPr>
              <w:t xml:space="preserve"> </w:t>
            </w:r>
          </w:p>
          <w:p w:rsidR="00136EF6" w:rsidRPr="00696E48" w:rsidRDefault="00136EF6" w:rsidP="00696E48">
            <w:pPr>
              <w:numPr>
                <w:ilvl w:val="0"/>
                <w:numId w:val="8"/>
              </w:numPr>
              <w:spacing w:after="120"/>
              <w:ind w:left="709"/>
              <w:rPr>
                <w:rFonts w:cs="Arial"/>
                <w:szCs w:val="20"/>
              </w:rPr>
            </w:pPr>
            <w:r w:rsidRPr="00696E48">
              <w:rPr>
                <w:rFonts w:cs="Arial"/>
                <w:szCs w:val="20"/>
              </w:rPr>
              <w:t>High qualifications required for admission.</w:t>
            </w:r>
          </w:p>
          <w:p w:rsidR="00136EF6" w:rsidRPr="00696E48" w:rsidRDefault="00136EF6" w:rsidP="00696E48">
            <w:pPr>
              <w:numPr>
                <w:ilvl w:val="0"/>
                <w:numId w:val="8"/>
              </w:numPr>
              <w:spacing w:after="120"/>
              <w:ind w:left="709"/>
              <w:rPr>
                <w:rFonts w:cs="Arial"/>
                <w:szCs w:val="20"/>
              </w:rPr>
            </w:pPr>
            <w:r w:rsidRPr="00696E48">
              <w:rPr>
                <w:rFonts w:cs="Arial"/>
                <w:szCs w:val="20"/>
              </w:rPr>
              <w:t>The high fees paid by students taking the programme.</w:t>
            </w:r>
          </w:p>
          <w:p w:rsidR="00136EF6" w:rsidRPr="00696E48" w:rsidRDefault="00136EF6" w:rsidP="00696E48">
            <w:pPr>
              <w:numPr>
                <w:ilvl w:val="0"/>
                <w:numId w:val="8"/>
              </w:numPr>
              <w:spacing w:after="120"/>
              <w:ind w:left="709"/>
              <w:rPr>
                <w:rFonts w:cs="Arial"/>
                <w:szCs w:val="20"/>
              </w:rPr>
            </w:pPr>
            <w:r w:rsidRPr="00696E48">
              <w:rPr>
                <w:rFonts w:cs="Arial"/>
                <w:szCs w:val="20"/>
              </w:rPr>
              <w:t>Consistently good examination results and very favourable remarks by external examiners.</w:t>
            </w:r>
          </w:p>
          <w:p w:rsidR="00136EF6" w:rsidRPr="00696E48" w:rsidRDefault="00136EF6" w:rsidP="00696E48">
            <w:pPr>
              <w:numPr>
                <w:ilvl w:val="0"/>
                <w:numId w:val="8"/>
              </w:numPr>
              <w:spacing w:after="120"/>
              <w:ind w:left="709"/>
              <w:rPr>
                <w:rFonts w:cs="Arial"/>
                <w:szCs w:val="20"/>
              </w:rPr>
            </w:pPr>
            <w:r w:rsidRPr="00696E48">
              <w:rPr>
                <w:rFonts w:cs="Arial"/>
                <w:szCs w:val="20"/>
              </w:rPr>
              <w:t>Student questionnaires and feedback via staff-student liaison committees.</w:t>
            </w:r>
          </w:p>
          <w:p w:rsidR="00136EF6" w:rsidRPr="00DB51BD" w:rsidRDefault="00136EF6" w:rsidP="00696E48">
            <w:pPr>
              <w:numPr>
                <w:ilvl w:val="0"/>
                <w:numId w:val="8"/>
              </w:numPr>
              <w:spacing w:after="120"/>
              <w:ind w:left="709"/>
              <w:rPr>
                <w:rFonts w:cs="Arial"/>
                <w:i/>
                <w:szCs w:val="20"/>
              </w:rPr>
            </w:pPr>
            <w:r w:rsidRPr="00696E48">
              <w:rPr>
                <w:rFonts w:cs="Arial"/>
                <w:szCs w:val="20"/>
              </w:rPr>
              <w:t xml:space="preserve">The </w:t>
            </w:r>
            <w:hyperlink r:id="rId10" w:history="1">
              <w:r w:rsidRPr="00696E48">
                <w:t>LSE Careers Centre website</w:t>
              </w:r>
            </w:hyperlink>
            <w:r w:rsidRPr="00696E48">
              <w:rPr>
                <w:rFonts w:cs="Arial"/>
                <w:szCs w:val="20"/>
              </w:rPr>
              <w:t>, which provides detailed data on career destinations of LSE graduates.</w:t>
            </w:r>
          </w:p>
        </w:tc>
      </w:tr>
    </w:tbl>
    <w:p w:rsidR="00136EF6" w:rsidRPr="00DB51BD" w:rsidRDefault="00136EF6" w:rsidP="00136EF6">
      <w:pPr>
        <w:rPr>
          <w:rFonts w:cs="Arial"/>
          <w:b/>
          <w:bCs/>
          <w:szCs w:val="20"/>
        </w:rPr>
      </w:pPr>
    </w:p>
    <w:p w:rsidR="00136EF6" w:rsidRPr="00D97DEE" w:rsidRDefault="00136EF6" w:rsidP="00136EF6">
      <w:pPr>
        <w:rPr>
          <w:rFonts w:cs="Arial"/>
          <w:b/>
          <w:bCs/>
          <w:sz w:val="10"/>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9252"/>
      </w:tblGrid>
      <w:tr w:rsidR="00136EF6" w:rsidRPr="00DB51BD" w:rsidTr="00BF4D97">
        <w:tc>
          <w:tcPr>
            <w:tcW w:w="495" w:type="dxa"/>
            <w:shd w:val="pct10" w:color="auto" w:fill="auto"/>
          </w:tcPr>
          <w:p w:rsidR="00136EF6" w:rsidRPr="00DB51BD" w:rsidRDefault="00136EF6" w:rsidP="00BF4D97">
            <w:pPr>
              <w:rPr>
                <w:rFonts w:cs="Arial"/>
                <w:b/>
                <w:bCs/>
                <w:szCs w:val="20"/>
              </w:rPr>
            </w:pPr>
            <w:r w:rsidRPr="00DB51BD">
              <w:rPr>
                <w:rFonts w:cs="Arial"/>
                <w:b/>
                <w:bCs/>
                <w:szCs w:val="20"/>
              </w:rPr>
              <w:t xml:space="preserve">16. </w:t>
            </w:r>
          </w:p>
        </w:tc>
        <w:tc>
          <w:tcPr>
            <w:tcW w:w="9252" w:type="dxa"/>
            <w:shd w:val="pct10" w:color="auto" w:fill="auto"/>
          </w:tcPr>
          <w:p w:rsidR="00136EF6" w:rsidRPr="00DB51BD" w:rsidRDefault="00136EF6" w:rsidP="00BF4D97">
            <w:pPr>
              <w:rPr>
                <w:rFonts w:cs="Arial"/>
                <w:b/>
                <w:bCs/>
                <w:szCs w:val="20"/>
              </w:rPr>
            </w:pPr>
            <w:r w:rsidRPr="00DB51BD">
              <w:rPr>
                <w:rFonts w:cs="Arial"/>
                <w:b/>
                <w:bCs/>
                <w:szCs w:val="20"/>
              </w:rPr>
              <w:t>Methods for evaluating and improving the quality and standard of teaching and learning</w:t>
            </w:r>
          </w:p>
        </w:tc>
      </w:tr>
      <w:tr w:rsidR="00136EF6" w:rsidRPr="00DB51BD" w:rsidTr="00BF4D97">
        <w:tc>
          <w:tcPr>
            <w:tcW w:w="9747" w:type="dxa"/>
            <w:gridSpan w:val="2"/>
          </w:tcPr>
          <w:p w:rsidR="00136EF6" w:rsidRPr="00696E48" w:rsidRDefault="00136EF6" w:rsidP="00696E48">
            <w:pPr>
              <w:numPr>
                <w:ilvl w:val="0"/>
                <w:numId w:val="2"/>
              </w:numPr>
              <w:autoSpaceDE w:val="0"/>
              <w:autoSpaceDN w:val="0"/>
              <w:adjustRightInd w:val="0"/>
              <w:spacing w:before="120" w:after="120"/>
              <w:rPr>
                <w:rFonts w:cs="Arial"/>
              </w:rPr>
            </w:pPr>
            <w:r w:rsidRPr="00696E48">
              <w:rPr>
                <w:rFonts w:cs="Arial"/>
              </w:rPr>
              <w:t>Regular staff-student meetings</w:t>
            </w:r>
          </w:p>
          <w:p w:rsidR="00136EF6" w:rsidRPr="00696E48" w:rsidRDefault="00136EF6" w:rsidP="00696E48">
            <w:pPr>
              <w:numPr>
                <w:ilvl w:val="0"/>
                <w:numId w:val="2"/>
              </w:numPr>
              <w:autoSpaceDE w:val="0"/>
              <w:autoSpaceDN w:val="0"/>
              <w:adjustRightInd w:val="0"/>
              <w:spacing w:after="120"/>
              <w:rPr>
                <w:rFonts w:cs="Arial"/>
              </w:rPr>
            </w:pPr>
            <w:r w:rsidRPr="00696E48">
              <w:rPr>
                <w:rFonts w:cs="Arial"/>
              </w:rPr>
              <w:t>Regular presentations at MPA Teaching Committee meetings (at least once per term)</w:t>
            </w:r>
          </w:p>
          <w:p w:rsidR="00136EF6" w:rsidRPr="00696E48" w:rsidRDefault="00136EF6" w:rsidP="00696E48">
            <w:pPr>
              <w:numPr>
                <w:ilvl w:val="0"/>
                <w:numId w:val="2"/>
              </w:numPr>
              <w:autoSpaceDE w:val="0"/>
              <w:autoSpaceDN w:val="0"/>
              <w:adjustRightInd w:val="0"/>
              <w:spacing w:after="120"/>
              <w:rPr>
                <w:rFonts w:cs="Arial"/>
              </w:rPr>
            </w:pPr>
            <w:r w:rsidRPr="00696E48">
              <w:rPr>
                <w:rFonts w:cs="Arial"/>
              </w:rPr>
              <w:t>TQARO student surveys</w:t>
            </w:r>
          </w:p>
          <w:p w:rsidR="00136EF6" w:rsidRPr="00696E48" w:rsidRDefault="00136EF6" w:rsidP="00696E48">
            <w:pPr>
              <w:numPr>
                <w:ilvl w:val="0"/>
                <w:numId w:val="2"/>
              </w:numPr>
              <w:autoSpaceDE w:val="0"/>
              <w:autoSpaceDN w:val="0"/>
              <w:adjustRightInd w:val="0"/>
              <w:spacing w:after="120"/>
              <w:rPr>
                <w:rFonts w:cs="Arial"/>
              </w:rPr>
            </w:pPr>
            <w:r w:rsidRPr="00696E48">
              <w:rPr>
                <w:rFonts w:cs="Arial"/>
              </w:rPr>
              <w:t>Annual review of academic staff</w:t>
            </w:r>
          </w:p>
          <w:p w:rsidR="00136EF6" w:rsidRPr="00D97DEE" w:rsidRDefault="00136EF6" w:rsidP="00696E48">
            <w:pPr>
              <w:numPr>
                <w:ilvl w:val="0"/>
                <w:numId w:val="2"/>
              </w:numPr>
              <w:spacing w:after="120"/>
              <w:rPr>
                <w:rFonts w:cs="Arial"/>
                <w:i/>
                <w:szCs w:val="20"/>
              </w:rPr>
            </w:pPr>
            <w:r w:rsidRPr="00696E48">
              <w:rPr>
                <w:rFonts w:cs="Arial"/>
                <w:szCs w:val="20"/>
              </w:rPr>
              <w:t>Submissions to relevant departmental</w:t>
            </w:r>
            <w:r w:rsidRPr="00696E48">
              <w:rPr>
                <w:rFonts w:cs="Arial"/>
                <w:bCs/>
                <w:szCs w:val="20"/>
              </w:rPr>
              <w:t xml:space="preserve"> TLAC review(s) once every five years, where required.</w:t>
            </w:r>
          </w:p>
          <w:p w:rsidR="00D97DEE" w:rsidRDefault="00D97DEE" w:rsidP="00D97DEE">
            <w:pPr>
              <w:spacing w:after="120"/>
              <w:rPr>
                <w:rFonts w:cs="Arial"/>
                <w:bCs/>
                <w:szCs w:val="20"/>
              </w:rPr>
            </w:pPr>
          </w:p>
          <w:p w:rsidR="00D97DEE" w:rsidRDefault="00D97DEE" w:rsidP="00D97DEE">
            <w:pPr>
              <w:rPr>
                <w:rFonts w:cs="Arial"/>
                <w:szCs w:val="20"/>
              </w:rPr>
            </w:pPr>
            <w:r>
              <w:rPr>
                <w:rFonts w:cs="Arial"/>
                <w:szCs w:val="20"/>
              </w:rPr>
              <w:t>School level quality assurance processes include:</w:t>
            </w:r>
          </w:p>
          <w:p w:rsidR="00D97DEE" w:rsidRDefault="00D97DEE" w:rsidP="00D97DEE">
            <w:pPr>
              <w:numPr>
                <w:ilvl w:val="0"/>
                <w:numId w:val="12"/>
              </w:numPr>
              <w:rPr>
                <w:rFonts w:cs="Arial"/>
                <w:szCs w:val="20"/>
              </w:rPr>
            </w:pPr>
            <w:r>
              <w:rPr>
                <w:rFonts w:cs="Arial"/>
                <w:szCs w:val="20"/>
              </w:rPr>
              <w:t>a system of initial programme approval, with input from the providers of resource-based services (including the Library, IT Services and the Academic Planning and Resources Committee) an</w:t>
            </w:r>
            <w:r w:rsidR="00444F8D">
              <w:rPr>
                <w:rFonts w:cs="Arial"/>
                <w:szCs w:val="20"/>
              </w:rPr>
              <w:t>d including an external assessor</w:t>
            </w:r>
            <w:r>
              <w:rPr>
                <w:rFonts w:cs="Arial"/>
                <w:szCs w:val="20"/>
              </w:rPr>
              <w:t>'s report</w:t>
            </w:r>
            <w:r w:rsidR="00444F8D">
              <w:rPr>
                <w:rFonts w:cs="Arial"/>
                <w:szCs w:val="20"/>
              </w:rPr>
              <w:t>, to be conducted by the School</w:t>
            </w:r>
            <w:bookmarkStart w:id="0" w:name="_GoBack"/>
            <w:bookmarkEnd w:id="0"/>
            <w:r>
              <w:rPr>
                <w:rFonts w:cs="Arial"/>
                <w:szCs w:val="20"/>
              </w:rPr>
              <w:t>'s central academic bodies;</w:t>
            </w:r>
          </w:p>
          <w:p w:rsidR="00D97DEE" w:rsidRDefault="00D97DEE" w:rsidP="00D97DEE">
            <w:pPr>
              <w:numPr>
                <w:ilvl w:val="0"/>
                <w:numId w:val="12"/>
              </w:numPr>
              <w:rPr>
                <w:rFonts w:cs="Arial"/>
                <w:szCs w:val="20"/>
              </w:rPr>
            </w:pPr>
            <w:r>
              <w:rPr>
                <w:rFonts w:cs="Arial"/>
                <w:szCs w:val="20"/>
              </w:rPr>
              <w:t>a system of initial course approval, with input from the providers of resource-based servi</w:t>
            </w:r>
            <w:r w:rsidR="00444F8D">
              <w:rPr>
                <w:rFonts w:cs="Arial"/>
                <w:szCs w:val="20"/>
              </w:rPr>
              <w:t>ces and conducted by the School</w:t>
            </w:r>
            <w:r>
              <w:rPr>
                <w:rFonts w:cs="Arial"/>
                <w:szCs w:val="20"/>
              </w:rPr>
              <w:t>'s central academic bodies;</w:t>
            </w:r>
          </w:p>
          <w:p w:rsidR="00D97DEE" w:rsidRDefault="00D97DEE" w:rsidP="00D97DEE">
            <w:pPr>
              <w:numPr>
                <w:ilvl w:val="0"/>
                <w:numId w:val="12"/>
              </w:numPr>
              <w:rPr>
                <w:rFonts w:cs="Arial"/>
                <w:szCs w:val="20"/>
              </w:rPr>
            </w:pPr>
            <w:r>
              <w:rPr>
                <w:rFonts w:cs="Arial"/>
                <w:szCs w:val="20"/>
              </w:rPr>
              <w:t>a system of approval of major modifications to programmes and c</w:t>
            </w:r>
            <w:r w:rsidR="00444F8D">
              <w:rPr>
                <w:rFonts w:cs="Arial"/>
                <w:szCs w:val="20"/>
              </w:rPr>
              <w:t>ourses, conducted by the School</w:t>
            </w:r>
            <w:r>
              <w:rPr>
                <w:rFonts w:cs="Arial"/>
                <w:szCs w:val="20"/>
              </w:rPr>
              <w:t>'s central academic bodies;</w:t>
            </w:r>
          </w:p>
          <w:p w:rsidR="00D97DEE" w:rsidRDefault="00D97DEE" w:rsidP="00D97DEE">
            <w:pPr>
              <w:numPr>
                <w:ilvl w:val="0"/>
                <w:numId w:val="12"/>
              </w:numPr>
              <w:rPr>
                <w:rFonts w:cs="Arial"/>
                <w:szCs w:val="20"/>
              </w:rPr>
            </w:pPr>
            <w:r>
              <w:rPr>
                <w:rFonts w:cs="Arial"/>
                <w:szCs w:val="20"/>
              </w:rPr>
              <w:t>a system of central review of departmental taught provision every five years or so, informed by available evidence, including student views, the main purposes being to promote development, identify and disseminate good practice, and to flag any concerns over standards to departments, without adjudicating on them;</w:t>
            </w:r>
          </w:p>
          <w:p w:rsidR="00D97DEE" w:rsidRDefault="00D97DEE" w:rsidP="00D97DEE">
            <w:pPr>
              <w:numPr>
                <w:ilvl w:val="0"/>
                <w:numId w:val="12"/>
              </w:numPr>
              <w:rPr>
                <w:rFonts w:cs="Arial"/>
                <w:szCs w:val="20"/>
              </w:rPr>
            </w:pPr>
            <w:r>
              <w:rPr>
                <w:rFonts w:cs="Arial"/>
                <w:szCs w:val="20"/>
              </w:rPr>
              <w:t>a system of gaining student feedback on their teaching and learning experience in the School;</w:t>
            </w:r>
          </w:p>
          <w:p w:rsidR="00D97DEE" w:rsidRDefault="00444F8D" w:rsidP="00D97DEE">
            <w:pPr>
              <w:numPr>
                <w:ilvl w:val="0"/>
                <w:numId w:val="12"/>
              </w:numPr>
              <w:rPr>
                <w:rFonts w:cs="Arial"/>
                <w:szCs w:val="20"/>
              </w:rPr>
            </w:pPr>
            <w:r>
              <w:rPr>
                <w:rFonts w:cs="Arial"/>
                <w:szCs w:val="20"/>
              </w:rPr>
              <w:t>periodic review by the School</w:t>
            </w:r>
            <w:r w:rsidR="00D97DEE">
              <w:rPr>
                <w:rFonts w:cs="Arial"/>
                <w:szCs w:val="20"/>
              </w:rPr>
              <w:t>'s academic bodies of its internal Codes of Practice;</w:t>
            </w:r>
          </w:p>
          <w:p w:rsidR="00D97DEE" w:rsidRDefault="00D97DEE" w:rsidP="00D97DEE">
            <w:pPr>
              <w:numPr>
                <w:ilvl w:val="0"/>
                <w:numId w:val="12"/>
              </w:numPr>
              <w:rPr>
                <w:rFonts w:cs="Arial"/>
                <w:szCs w:val="20"/>
              </w:rPr>
            </w:pPr>
            <w:r>
              <w:rPr>
                <w:rFonts w:cs="Arial"/>
                <w:szCs w:val="20"/>
              </w:rPr>
              <w:t>due and appropriate consideration of national quality assurance re</w:t>
            </w:r>
            <w:r w:rsidR="00444F8D">
              <w:rPr>
                <w:rFonts w:cs="Arial"/>
                <w:szCs w:val="20"/>
              </w:rPr>
              <w:t>quirements through the School</w:t>
            </w:r>
            <w:r>
              <w:rPr>
                <w:rFonts w:cs="Arial"/>
                <w:szCs w:val="20"/>
              </w:rPr>
              <w:t>'s committee structure; and</w:t>
            </w:r>
          </w:p>
          <w:p w:rsidR="00D97DEE" w:rsidRPr="00D97DEE" w:rsidRDefault="00D97DEE" w:rsidP="00444F8D">
            <w:pPr>
              <w:numPr>
                <w:ilvl w:val="0"/>
                <w:numId w:val="12"/>
              </w:numPr>
              <w:rPr>
                <w:rFonts w:cs="Arial"/>
                <w:szCs w:val="20"/>
              </w:rPr>
            </w:pPr>
            <w:proofErr w:type="gramStart"/>
            <w:r>
              <w:rPr>
                <w:rFonts w:cs="Arial"/>
                <w:szCs w:val="20"/>
              </w:rPr>
              <w:t>departments</w:t>
            </w:r>
            <w:proofErr w:type="gramEnd"/>
            <w:r>
              <w:rPr>
                <w:rFonts w:cs="Arial"/>
                <w:szCs w:val="20"/>
              </w:rPr>
              <w:t xml:space="preserve"> have the following arrangements in place for assuring their quality and standards:</w:t>
            </w:r>
            <w:r>
              <w:rPr>
                <w:rFonts w:cs="Arial"/>
                <w:szCs w:val="20"/>
              </w:rPr>
              <w:br/>
              <w:t>8.1.  Staff-Student Liaison Committees for all students that meet regularly, with minutes of meetings produced and circulated to staff and students</w:t>
            </w:r>
            <w:proofErr w:type="gramStart"/>
            <w:r>
              <w:rPr>
                <w:rFonts w:cs="Arial"/>
                <w:szCs w:val="20"/>
              </w:rPr>
              <w:t>;</w:t>
            </w:r>
            <w:proofErr w:type="gramEnd"/>
            <w:r>
              <w:rPr>
                <w:rFonts w:cs="Arial"/>
                <w:szCs w:val="20"/>
              </w:rPr>
              <w:br/>
              <w:t>8.2.  Departmental Staff meetings that involve all staff, meet at least three times per academic year, and consider information from any other extant departmental committees. Minutes should be produced and circulated to staff</w:t>
            </w:r>
            <w:proofErr w:type="gramStart"/>
            <w:r>
              <w:rPr>
                <w:rFonts w:cs="Arial"/>
                <w:szCs w:val="20"/>
              </w:rPr>
              <w:t>;</w:t>
            </w:r>
            <w:proofErr w:type="gramEnd"/>
            <w:r>
              <w:rPr>
                <w:rFonts w:cs="Arial"/>
                <w:szCs w:val="20"/>
              </w:rPr>
              <w:br/>
              <w:t xml:space="preserve">8.3.  A Teaching Committee that involves appropriate departmental </w:t>
            </w:r>
            <w:proofErr w:type="gramStart"/>
            <w:r>
              <w:rPr>
                <w:rFonts w:cs="Arial"/>
                <w:szCs w:val="20"/>
              </w:rPr>
              <w:t>staff,</w:t>
            </w:r>
            <w:proofErr w:type="gramEnd"/>
            <w:r>
              <w:rPr>
                <w:rFonts w:cs="Arial"/>
                <w:szCs w:val="20"/>
              </w:rPr>
              <w:t xml:space="preserve"> meets regularly each academic session and considers all aspects of departmental learning and teaching, including new programme and course proposals. Minutes should be produced and circulated to members</w:t>
            </w:r>
            <w:proofErr w:type="gramStart"/>
            <w:r>
              <w:rPr>
                <w:rFonts w:cs="Arial"/>
                <w:szCs w:val="20"/>
              </w:rPr>
              <w:t>;</w:t>
            </w:r>
            <w:proofErr w:type="gramEnd"/>
            <w:r>
              <w:rPr>
                <w:rFonts w:cs="Arial"/>
                <w:szCs w:val="20"/>
              </w:rPr>
              <w:br/>
              <w:t>8.4.  A system for ensuring the effective participation in the School's annual programme monitoring exercise</w:t>
            </w:r>
            <w:proofErr w:type="gramStart"/>
            <w:r>
              <w:rPr>
                <w:rFonts w:cs="Arial"/>
                <w:szCs w:val="20"/>
              </w:rPr>
              <w:t>;</w:t>
            </w:r>
            <w:proofErr w:type="gramEnd"/>
            <w:r>
              <w:rPr>
                <w:rFonts w:cs="Arial"/>
                <w:szCs w:val="20"/>
              </w:rPr>
              <w:br/>
              <w:t>8.5.  A system for considering course and programme results annually, and revising taught provision as appropriate</w:t>
            </w:r>
            <w:proofErr w:type="gramStart"/>
            <w:r>
              <w:rPr>
                <w:rFonts w:cs="Arial"/>
                <w:szCs w:val="20"/>
              </w:rPr>
              <w:t>;</w:t>
            </w:r>
            <w:proofErr w:type="gramEnd"/>
            <w:r>
              <w:rPr>
                <w:rFonts w:cs="Arial"/>
                <w:szCs w:val="20"/>
              </w:rPr>
              <w:br/>
              <w:t>8.6.  A system for considering student survey course results annually, and revising taught provision as appropriate</w:t>
            </w:r>
            <w:proofErr w:type="gramStart"/>
            <w:r>
              <w:rPr>
                <w:rFonts w:cs="Arial"/>
                <w:szCs w:val="20"/>
              </w:rPr>
              <w:t>;</w:t>
            </w:r>
            <w:proofErr w:type="gramEnd"/>
            <w:r>
              <w:rPr>
                <w:rFonts w:cs="Arial"/>
                <w:szCs w:val="20"/>
              </w:rPr>
              <w:br/>
              <w:t>8.7.  A system for considering external examiners' reports, and acting on them, on an annual basis, with the School having an associated responsibility (a) to ensure that the system functions and (b) for any School-wide lessons on both good practice and areas of concern from the reports collectively.</w:t>
            </w:r>
          </w:p>
        </w:tc>
      </w:tr>
    </w:tbl>
    <w:p w:rsidR="00136EF6" w:rsidRPr="00DB51BD" w:rsidRDefault="00136EF6" w:rsidP="00D97DEE"/>
    <w:sectPr w:rsidR="00136EF6" w:rsidRPr="00DB51BD" w:rsidSect="000650BC">
      <w:footerReference w:type="even" r:id="rId11"/>
      <w:footerReference w:type="default" r:id="rId12"/>
      <w:pgSz w:w="11907" w:h="16840" w:code="9"/>
      <w:pgMar w:top="1079" w:right="1440" w:bottom="899"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E48" w:rsidRDefault="00696E48" w:rsidP="00696E48">
      <w:r>
        <w:separator/>
      </w:r>
    </w:p>
  </w:endnote>
  <w:endnote w:type="continuationSeparator" w:id="0">
    <w:p w:rsidR="00696E48" w:rsidRDefault="00696E48" w:rsidP="00696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B84" w:rsidRDefault="00DB3A3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67B84" w:rsidRDefault="00444F8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B84" w:rsidRDefault="00DB3A3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44F8D">
      <w:rPr>
        <w:rStyle w:val="PageNumber"/>
        <w:noProof/>
      </w:rPr>
      <w:t>3</w:t>
    </w:r>
    <w:r>
      <w:rPr>
        <w:rStyle w:val="PageNumber"/>
      </w:rPr>
      <w:fldChar w:fldCharType="end"/>
    </w:r>
  </w:p>
  <w:p w:rsidR="00C67B84" w:rsidRDefault="00444F8D">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E48" w:rsidRDefault="00696E48" w:rsidP="00696E48">
      <w:r>
        <w:separator/>
      </w:r>
    </w:p>
  </w:footnote>
  <w:footnote w:type="continuationSeparator" w:id="0">
    <w:p w:rsidR="00696E48" w:rsidRDefault="00696E48" w:rsidP="00696E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A51C2"/>
    <w:multiLevelType w:val="hybridMultilevel"/>
    <w:tmpl w:val="6A12C332"/>
    <w:lvl w:ilvl="0" w:tplc="7DEC5F86">
      <w:start w:val="1"/>
      <w:numFmt w:val="bullet"/>
      <w:lvlText w:val=""/>
      <w:lvlJc w:val="left"/>
      <w:pPr>
        <w:tabs>
          <w:tab w:val="num" w:pos="737"/>
        </w:tabs>
        <w:ind w:left="737" w:hanging="37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07CC53A5"/>
    <w:multiLevelType w:val="hybridMultilevel"/>
    <w:tmpl w:val="5FF6BE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D7413BE"/>
    <w:multiLevelType w:val="hybridMultilevel"/>
    <w:tmpl w:val="340AAC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2A5257E6"/>
    <w:multiLevelType w:val="hybridMultilevel"/>
    <w:tmpl w:val="D4FC5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16E097E"/>
    <w:multiLevelType w:val="hybridMultilevel"/>
    <w:tmpl w:val="8E560B3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FDB72FC"/>
    <w:multiLevelType w:val="hybridMultilevel"/>
    <w:tmpl w:val="EDB4C876"/>
    <w:lvl w:ilvl="0" w:tplc="08090001">
      <w:start w:val="1"/>
      <w:numFmt w:val="bullet"/>
      <w:lvlText w:val=""/>
      <w:lvlJc w:val="left"/>
      <w:pPr>
        <w:ind w:left="1434" w:hanging="360"/>
      </w:pPr>
      <w:rPr>
        <w:rFonts w:ascii="Symbol" w:hAnsi="Symbol" w:hint="default"/>
      </w:rPr>
    </w:lvl>
    <w:lvl w:ilvl="1" w:tplc="08090003" w:tentative="1">
      <w:start w:val="1"/>
      <w:numFmt w:val="bullet"/>
      <w:lvlText w:val="o"/>
      <w:lvlJc w:val="left"/>
      <w:pPr>
        <w:ind w:left="2154" w:hanging="360"/>
      </w:pPr>
      <w:rPr>
        <w:rFonts w:ascii="Courier New" w:hAnsi="Courier New" w:cs="Courier New" w:hint="default"/>
      </w:rPr>
    </w:lvl>
    <w:lvl w:ilvl="2" w:tplc="08090005" w:tentative="1">
      <w:start w:val="1"/>
      <w:numFmt w:val="bullet"/>
      <w:lvlText w:val=""/>
      <w:lvlJc w:val="left"/>
      <w:pPr>
        <w:ind w:left="2874" w:hanging="360"/>
      </w:pPr>
      <w:rPr>
        <w:rFonts w:ascii="Wingdings" w:hAnsi="Wingdings" w:hint="default"/>
      </w:rPr>
    </w:lvl>
    <w:lvl w:ilvl="3" w:tplc="08090001" w:tentative="1">
      <w:start w:val="1"/>
      <w:numFmt w:val="bullet"/>
      <w:lvlText w:val=""/>
      <w:lvlJc w:val="left"/>
      <w:pPr>
        <w:ind w:left="3594" w:hanging="360"/>
      </w:pPr>
      <w:rPr>
        <w:rFonts w:ascii="Symbol" w:hAnsi="Symbol" w:hint="default"/>
      </w:rPr>
    </w:lvl>
    <w:lvl w:ilvl="4" w:tplc="08090003" w:tentative="1">
      <w:start w:val="1"/>
      <w:numFmt w:val="bullet"/>
      <w:lvlText w:val="o"/>
      <w:lvlJc w:val="left"/>
      <w:pPr>
        <w:ind w:left="4314" w:hanging="360"/>
      </w:pPr>
      <w:rPr>
        <w:rFonts w:ascii="Courier New" w:hAnsi="Courier New" w:cs="Courier New" w:hint="default"/>
      </w:rPr>
    </w:lvl>
    <w:lvl w:ilvl="5" w:tplc="08090005" w:tentative="1">
      <w:start w:val="1"/>
      <w:numFmt w:val="bullet"/>
      <w:lvlText w:val=""/>
      <w:lvlJc w:val="left"/>
      <w:pPr>
        <w:ind w:left="5034" w:hanging="360"/>
      </w:pPr>
      <w:rPr>
        <w:rFonts w:ascii="Wingdings" w:hAnsi="Wingdings" w:hint="default"/>
      </w:rPr>
    </w:lvl>
    <w:lvl w:ilvl="6" w:tplc="08090001" w:tentative="1">
      <w:start w:val="1"/>
      <w:numFmt w:val="bullet"/>
      <w:lvlText w:val=""/>
      <w:lvlJc w:val="left"/>
      <w:pPr>
        <w:ind w:left="5754" w:hanging="360"/>
      </w:pPr>
      <w:rPr>
        <w:rFonts w:ascii="Symbol" w:hAnsi="Symbol" w:hint="default"/>
      </w:rPr>
    </w:lvl>
    <w:lvl w:ilvl="7" w:tplc="08090003" w:tentative="1">
      <w:start w:val="1"/>
      <w:numFmt w:val="bullet"/>
      <w:lvlText w:val="o"/>
      <w:lvlJc w:val="left"/>
      <w:pPr>
        <w:ind w:left="6474" w:hanging="360"/>
      </w:pPr>
      <w:rPr>
        <w:rFonts w:ascii="Courier New" w:hAnsi="Courier New" w:cs="Courier New" w:hint="default"/>
      </w:rPr>
    </w:lvl>
    <w:lvl w:ilvl="8" w:tplc="08090005" w:tentative="1">
      <w:start w:val="1"/>
      <w:numFmt w:val="bullet"/>
      <w:lvlText w:val=""/>
      <w:lvlJc w:val="left"/>
      <w:pPr>
        <w:ind w:left="7194" w:hanging="360"/>
      </w:pPr>
      <w:rPr>
        <w:rFonts w:ascii="Wingdings" w:hAnsi="Wingdings" w:hint="default"/>
      </w:rPr>
    </w:lvl>
  </w:abstractNum>
  <w:abstractNum w:abstractNumId="6">
    <w:nsid w:val="43DC0521"/>
    <w:multiLevelType w:val="hybridMultilevel"/>
    <w:tmpl w:val="7BB65FB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9B67F0E"/>
    <w:multiLevelType w:val="hybridMultilevel"/>
    <w:tmpl w:val="FEAA8738"/>
    <w:lvl w:ilvl="0" w:tplc="138AF2F0">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EFB36B3"/>
    <w:multiLevelType w:val="hybridMultilevel"/>
    <w:tmpl w:val="3D8811F2"/>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67E7685F"/>
    <w:multiLevelType w:val="hybridMultilevel"/>
    <w:tmpl w:val="8CFAC8C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2CE2176"/>
    <w:multiLevelType w:val="hybridMultilevel"/>
    <w:tmpl w:val="A894E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882686C"/>
    <w:multiLevelType w:val="multilevel"/>
    <w:tmpl w:val="855CC3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num>
  <w:num w:numId="2">
    <w:abstractNumId w:val="0"/>
  </w:num>
  <w:num w:numId="3">
    <w:abstractNumId w:val="9"/>
  </w:num>
  <w:num w:numId="4">
    <w:abstractNumId w:val="4"/>
  </w:num>
  <w:num w:numId="5">
    <w:abstractNumId w:val="1"/>
  </w:num>
  <w:num w:numId="6">
    <w:abstractNumId w:val="5"/>
  </w:num>
  <w:num w:numId="7">
    <w:abstractNumId w:val="2"/>
  </w:num>
  <w:num w:numId="8">
    <w:abstractNumId w:val="8"/>
  </w:num>
  <w:num w:numId="9">
    <w:abstractNumId w:val="10"/>
  </w:num>
  <w:num w:numId="10">
    <w:abstractNumId w:val="3"/>
  </w:num>
  <w:num w:numId="11">
    <w:abstractNumId w:val="7"/>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EF6"/>
    <w:rsid w:val="00136EF6"/>
    <w:rsid w:val="002C5131"/>
    <w:rsid w:val="00444F8D"/>
    <w:rsid w:val="00696E48"/>
    <w:rsid w:val="00B313B5"/>
    <w:rsid w:val="00B3208D"/>
    <w:rsid w:val="00D97DEE"/>
    <w:rsid w:val="00DB3A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EF6"/>
    <w:pPr>
      <w:spacing w:after="0" w:line="240" w:lineRule="auto"/>
    </w:pPr>
    <w:rPr>
      <w:rFonts w:ascii="Arial" w:eastAsia="Times New Roman" w:hAnsi="Arial" w:cs="Times New Roman"/>
      <w:sz w:val="20"/>
      <w:szCs w:val="24"/>
    </w:rPr>
  </w:style>
  <w:style w:type="paragraph" w:styleId="Heading1">
    <w:name w:val="heading 1"/>
    <w:basedOn w:val="Normal"/>
    <w:next w:val="Normal"/>
    <w:link w:val="Heading1Char"/>
    <w:qFormat/>
    <w:rsid w:val="00136EF6"/>
    <w:pPr>
      <w:keepNext/>
      <w:outlineLvl w:val="0"/>
    </w:pPr>
    <w:rPr>
      <w:b/>
      <w:color w:val="00008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6EF6"/>
    <w:rPr>
      <w:rFonts w:ascii="Arial" w:eastAsia="Times New Roman" w:hAnsi="Arial" w:cs="Times New Roman"/>
      <w:b/>
      <w:color w:val="000080"/>
      <w:sz w:val="20"/>
      <w:szCs w:val="20"/>
    </w:rPr>
  </w:style>
  <w:style w:type="paragraph" w:styleId="CommentText">
    <w:name w:val="annotation text"/>
    <w:basedOn w:val="Normal"/>
    <w:link w:val="CommentTextChar"/>
    <w:semiHidden/>
    <w:rsid w:val="00136EF6"/>
    <w:rPr>
      <w:szCs w:val="20"/>
    </w:rPr>
  </w:style>
  <w:style w:type="character" w:customStyle="1" w:styleId="CommentTextChar">
    <w:name w:val="Comment Text Char"/>
    <w:basedOn w:val="DefaultParagraphFont"/>
    <w:link w:val="CommentText"/>
    <w:semiHidden/>
    <w:rsid w:val="00136EF6"/>
    <w:rPr>
      <w:rFonts w:ascii="Arial" w:eastAsia="Times New Roman" w:hAnsi="Arial" w:cs="Times New Roman"/>
      <w:sz w:val="20"/>
      <w:szCs w:val="20"/>
    </w:rPr>
  </w:style>
  <w:style w:type="paragraph" w:styleId="Header">
    <w:name w:val="header"/>
    <w:basedOn w:val="Normal"/>
    <w:link w:val="HeaderChar"/>
    <w:rsid w:val="00136EF6"/>
    <w:pPr>
      <w:tabs>
        <w:tab w:val="center" w:pos="4153"/>
        <w:tab w:val="right" w:pos="8306"/>
      </w:tabs>
    </w:pPr>
    <w:rPr>
      <w:rFonts w:ascii="Times New Roman" w:hAnsi="Times New Roman"/>
      <w:sz w:val="24"/>
      <w:szCs w:val="20"/>
    </w:rPr>
  </w:style>
  <w:style w:type="character" w:customStyle="1" w:styleId="HeaderChar">
    <w:name w:val="Header Char"/>
    <w:basedOn w:val="DefaultParagraphFont"/>
    <w:link w:val="Header"/>
    <w:rsid w:val="00136EF6"/>
    <w:rPr>
      <w:rFonts w:ascii="Times New Roman" w:eastAsia="Times New Roman" w:hAnsi="Times New Roman" w:cs="Times New Roman"/>
      <w:sz w:val="24"/>
      <w:szCs w:val="20"/>
    </w:rPr>
  </w:style>
  <w:style w:type="paragraph" w:styleId="Footer">
    <w:name w:val="footer"/>
    <w:basedOn w:val="Normal"/>
    <w:link w:val="FooterChar"/>
    <w:rsid w:val="00136EF6"/>
    <w:pPr>
      <w:tabs>
        <w:tab w:val="center" w:pos="4153"/>
        <w:tab w:val="right" w:pos="8306"/>
      </w:tabs>
    </w:pPr>
  </w:style>
  <w:style w:type="character" w:customStyle="1" w:styleId="FooterChar">
    <w:name w:val="Footer Char"/>
    <w:basedOn w:val="DefaultParagraphFont"/>
    <w:link w:val="Footer"/>
    <w:rsid w:val="00136EF6"/>
    <w:rPr>
      <w:rFonts w:ascii="Arial" w:eastAsia="Times New Roman" w:hAnsi="Arial" w:cs="Times New Roman"/>
      <w:sz w:val="20"/>
      <w:szCs w:val="24"/>
    </w:rPr>
  </w:style>
  <w:style w:type="character" w:styleId="PageNumber">
    <w:name w:val="page number"/>
    <w:basedOn w:val="DefaultParagraphFont"/>
    <w:rsid w:val="00136EF6"/>
  </w:style>
  <w:style w:type="character" w:styleId="Hyperlink">
    <w:name w:val="Hyperlink"/>
    <w:rsid w:val="00136EF6"/>
    <w:rPr>
      <w:color w:val="0000FF"/>
      <w:u w:val="single"/>
    </w:rPr>
  </w:style>
  <w:style w:type="paragraph" w:styleId="NormalWeb">
    <w:name w:val="Normal (Web)"/>
    <w:basedOn w:val="Normal"/>
    <w:uiPriority w:val="99"/>
    <w:rsid w:val="00136EF6"/>
    <w:pPr>
      <w:spacing w:before="100" w:beforeAutospacing="1" w:after="100" w:afterAutospacing="1"/>
    </w:pPr>
    <w:rPr>
      <w:rFonts w:ascii="Arial Unicode MS" w:eastAsia="Arial Unicode MS" w:hAnsi="Arial Unicode MS" w:cs="Arial Unicode MS"/>
      <w:sz w:val="24"/>
    </w:rPr>
  </w:style>
  <w:style w:type="paragraph" w:styleId="ListParagraph">
    <w:name w:val="List Paragraph"/>
    <w:basedOn w:val="Normal"/>
    <w:uiPriority w:val="34"/>
    <w:qFormat/>
    <w:rsid w:val="00136EF6"/>
    <w:pPr>
      <w:ind w:left="720"/>
      <w:contextualSpacing/>
    </w:pPr>
    <w:rPr>
      <w:rFonts w:ascii="Times New Roman" w:hAnsi="Times New Roman"/>
      <w:sz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EF6"/>
    <w:pPr>
      <w:spacing w:after="0" w:line="240" w:lineRule="auto"/>
    </w:pPr>
    <w:rPr>
      <w:rFonts w:ascii="Arial" w:eastAsia="Times New Roman" w:hAnsi="Arial" w:cs="Times New Roman"/>
      <w:sz w:val="20"/>
      <w:szCs w:val="24"/>
    </w:rPr>
  </w:style>
  <w:style w:type="paragraph" w:styleId="Heading1">
    <w:name w:val="heading 1"/>
    <w:basedOn w:val="Normal"/>
    <w:next w:val="Normal"/>
    <w:link w:val="Heading1Char"/>
    <w:qFormat/>
    <w:rsid w:val="00136EF6"/>
    <w:pPr>
      <w:keepNext/>
      <w:outlineLvl w:val="0"/>
    </w:pPr>
    <w:rPr>
      <w:b/>
      <w:color w:val="00008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6EF6"/>
    <w:rPr>
      <w:rFonts w:ascii="Arial" w:eastAsia="Times New Roman" w:hAnsi="Arial" w:cs="Times New Roman"/>
      <w:b/>
      <w:color w:val="000080"/>
      <w:sz w:val="20"/>
      <w:szCs w:val="20"/>
    </w:rPr>
  </w:style>
  <w:style w:type="paragraph" w:styleId="CommentText">
    <w:name w:val="annotation text"/>
    <w:basedOn w:val="Normal"/>
    <w:link w:val="CommentTextChar"/>
    <w:semiHidden/>
    <w:rsid w:val="00136EF6"/>
    <w:rPr>
      <w:szCs w:val="20"/>
    </w:rPr>
  </w:style>
  <w:style w:type="character" w:customStyle="1" w:styleId="CommentTextChar">
    <w:name w:val="Comment Text Char"/>
    <w:basedOn w:val="DefaultParagraphFont"/>
    <w:link w:val="CommentText"/>
    <w:semiHidden/>
    <w:rsid w:val="00136EF6"/>
    <w:rPr>
      <w:rFonts w:ascii="Arial" w:eastAsia="Times New Roman" w:hAnsi="Arial" w:cs="Times New Roman"/>
      <w:sz w:val="20"/>
      <w:szCs w:val="20"/>
    </w:rPr>
  </w:style>
  <w:style w:type="paragraph" w:styleId="Header">
    <w:name w:val="header"/>
    <w:basedOn w:val="Normal"/>
    <w:link w:val="HeaderChar"/>
    <w:rsid w:val="00136EF6"/>
    <w:pPr>
      <w:tabs>
        <w:tab w:val="center" w:pos="4153"/>
        <w:tab w:val="right" w:pos="8306"/>
      </w:tabs>
    </w:pPr>
    <w:rPr>
      <w:rFonts w:ascii="Times New Roman" w:hAnsi="Times New Roman"/>
      <w:sz w:val="24"/>
      <w:szCs w:val="20"/>
    </w:rPr>
  </w:style>
  <w:style w:type="character" w:customStyle="1" w:styleId="HeaderChar">
    <w:name w:val="Header Char"/>
    <w:basedOn w:val="DefaultParagraphFont"/>
    <w:link w:val="Header"/>
    <w:rsid w:val="00136EF6"/>
    <w:rPr>
      <w:rFonts w:ascii="Times New Roman" w:eastAsia="Times New Roman" w:hAnsi="Times New Roman" w:cs="Times New Roman"/>
      <w:sz w:val="24"/>
      <w:szCs w:val="20"/>
    </w:rPr>
  </w:style>
  <w:style w:type="paragraph" w:styleId="Footer">
    <w:name w:val="footer"/>
    <w:basedOn w:val="Normal"/>
    <w:link w:val="FooterChar"/>
    <w:rsid w:val="00136EF6"/>
    <w:pPr>
      <w:tabs>
        <w:tab w:val="center" w:pos="4153"/>
        <w:tab w:val="right" w:pos="8306"/>
      </w:tabs>
    </w:pPr>
  </w:style>
  <w:style w:type="character" w:customStyle="1" w:styleId="FooterChar">
    <w:name w:val="Footer Char"/>
    <w:basedOn w:val="DefaultParagraphFont"/>
    <w:link w:val="Footer"/>
    <w:rsid w:val="00136EF6"/>
    <w:rPr>
      <w:rFonts w:ascii="Arial" w:eastAsia="Times New Roman" w:hAnsi="Arial" w:cs="Times New Roman"/>
      <w:sz w:val="20"/>
      <w:szCs w:val="24"/>
    </w:rPr>
  </w:style>
  <w:style w:type="character" w:styleId="PageNumber">
    <w:name w:val="page number"/>
    <w:basedOn w:val="DefaultParagraphFont"/>
    <w:rsid w:val="00136EF6"/>
  </w:style>
  <w:style w:type="character" w:styleId="Hyperlink">
    <w:name w:val="Hyperlink"/>
    <w:rsid w:val="00136EF6"/>
    <w:rPr>
      <w:color w:val="0000FF"/>
      <w:u w:val="single"/>
    </w:rPr>
  </w:style>
  <w:style w:type="paragraph" w:styleId="NormalWeb">
    <w:name w:val="Normal (Web)"/>
    <w:basedOn w:val="Normal"/>
    <w:uiPriority w:val="99"/>
    <w:rsid w:val="00136EF6"/>
    <w:pPr>
      <w:spacing w:before="100" w:beforeAutospacing="1" w:after="100" w:afterAutospacing="1"/>
    </w:pPr>
    <w:rPr>
      <w:rFonts w:ascii="Arial Unicode MS" w:eastAsia="Arial Unicode MS" w:hAnsi="Arial Unicode MS" w:cs="Arial Unicode MS"/>
      <w:sz w:val="24"/>
    </w:rPr>
  </w:style>
  <w:style w:type="paragraph" w:styleId="ListParagraph">
    <w:name w:val="List Paragraph"/>
    <w:basedOn w:val="Normal"/>
    <w:uiPriority w:val="34"/>
    <w:qFormat/>
    <w:rsid w:val="00136EF6"/>
    <w:pPr>
      <w:ind w:left="720"/>
      <w:contextualSpacing/>
    </w:pPr>
    <w:rPr>
      <w:rFonts w:ascii="Times New Roman" w:hAnsi="Times New Roman"/>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15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se.ac.uk/resources/calendar/programmeRegulations/taughtMasters/2014_ExecutiveMasterOfPublicAdministration.ht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lse.ac.uk/collections/graduateDestinations/" TargetMode="External"/><Relationship Id="rId4" Type="http://schemas.openxmlformats.org/officeDocument/2006/relationships/settings" Target="settings.xml"/><Relationship Id="rId9" Type="http://schemas.openxmlformats.org/officeDocument/2006/relationships/hyperlink" Target="https://www2.lse.ac.uk/intranet/LSEServices/planningUnit/internal/staff/RollingPlans/AnnexB.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D7946A8.dotm</Template>
  <TotalTime>50</TotalTime>
  <Pages>3</Pages>
  <Words>1366</Words>
  <Characters>7792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9140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Foxcroft</dc:creator>
  <cp:lastModifiedBy>Administrator</cp:lastModifiedBy>
  <cp:revision>6</cp:revision>
  <dcterms:created xsi:type="dcterms:W3CDTF">2014-11-10T09:49:00Z</dcterms:created>
  <dcterms:modified xsi:type="dcterms:W3CDTF">2016-01-06T07:52:00Z</dcterms:modified>
</cp:coreProperties>
</file>