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E3A" w:rsidRPr="00453FA1" w:rsidRDefault="001B0E3A">
      <w:pPr>
        <w:rPr>
          <w:rFonts w:ascii="Arial" w:hAnsi="Arial" w:cs="Arial"/>
          <w:b/>
          <w:bCs/>
          <w:sz w:val="20"/>
          <w:szCs w:val="20"/>
        </w:rPr>
      </w:pPr>
      <w:r w:rsidRPr="00453FA1">
        <w:rPr>
          <w:rFonts w:ascii="Arial" w:hAnsi="Arial" w:cs="Arial"/>
          <w:b/>
          <w:bCs/>
          <w:sz w:val="20"/>
          <w:szCs w:val="20"/>
        </w:rPr>
        <w:t>Programme Specification: LLM</w:t>
      </w:r>
    </w:p>
    <w:p w:rsidR="001B0E3A" w:rsidRPr="00453FA1" w:rsidRDefault="001B0E3A">
      <w:pPr>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61"/>
        <w:gridCol w:w="4261"/>
      </w:tblGrid>
      <w:tr w:rsidR="0084661A" w:rsidRPr="00453FA1" w:rsidTr="0084661A">
        <w:tc>
          <w:tcPr>
            <w:tcW w:w="4261" w:type="dxa"/>
          </w:tcPr>
          <w:p w:rsidR="0084661A" w:rsidRPr="00453FA1" w:rsidRDefault="0084661A" w:rsidP="0084661A">
            <w:pPr>
              <w:rPr>
                <w:rFonts w:ascii="Arial" w:hAnsi="Arial" w:cs="Arial"/>
                <w:b/>
                <w:bCs/>
                <w:sz w:val="20"/>
                <w:szCs w:val="20"/>
              </w:rPr>
            </w:pPr>
            <w:r w:rsidRPr="00453FA1">
              <w:rPr>
                <w:rFonts w:ascii="Arial" w:hAnsi="Arial" w:cs="Arial"/>
                <w:b/>
                <w:bCs/>
                <w:sz w:val="20"/>
                <w:szCs w:val="20"/>
              </w:rPr>
              <w:t>1. Awarding Body</w:t>
            </w:r>
          </w:p>
        </w:tc>
        <w:tc>
          <w:tcPr>
            <w:tcW w:w="4261" w:type="dxa"/>
          </w:tcPr>
          <w:p w:rsidR="0084661A" w:rsidRPr="00453FA1" w:rsidRDefault="0084661A" w:rsidP="0084661A">
            <w:pPr>
              <w:rPr>
                <w:rFonts w:ascii="Arial" w:hAnsi="Arial" w:cs="Arial"/>
                <w:sz w:val="20"/>
                <w:szCs w:val="20"/>
              </w:rPr>
            </w:pPr>
            <w:r w:rsidRPr="00453FA1">
              <w:rPr>
                <w:rFonts w:ascii="Arial" w:hAnsi="Arial" w:cs="Arial"/>
                <w:sz w:val="20"/>
                <w:szCs w:val="20"/>
              </w:rPr>
              <w:t>LSE</w:t>
            </w:r>
          </w:p>
        </w:tc>
      </w:tr>
      <w:tr w:rsidR="0084661A" w:rsidRPr="00453FA1" w:rsidTr="0084661A">
        <w:tc>
          <w:tcPr>
            <w:tcW w:w="4261" w:type="dxa"/>
          </w:tcPr>
          <w:p w:rsidR="0084661A" w:rsidRPr="00453FA1" w:rsidRDefault="0084661A" w:rsidP="0084661A">
            <w:pPr>
              <w:rPr>
                <w:rFonts w:ascii="Arial" w:hAnsi="Arial" w:cs="Arial"/>
                <w:b/>
                <w:bCs/>
                <w:sz w:val="20"/>
                <w:szCs w:val="20"/>
              </w:rPr>
            </w:pPr>
            <w:r w:rsidRPr="00453FA1">
              <w:rPr>
                <w:rFonts w:ascii="Arial" w:hAnsi="Arial" w:cs="Arial"/>
                <w:b/>
                <w:bCs/>
                <w:sz w:val="20"/>
                <w:szCs w:val="20"/>
              </w:rPr>
              <w:t>2. Details of accreditation by a professional/statutory body, e.g. ESRC; BPS etc</w:t>
            </w:r>
          </w:p>
        </w:tc>
        <w:tc>
          <w:tcPr>
            <w:tcW w:w="4261" w:type="dxa"/>
          </w:tcPr>
          <w:p w:rsidR="0084661A" w:rsidRPr="00453FA1" w:rsidRDefault="0084661A" w:rsidP="0084661A">
            <w:pPr>
              <w:rPr>
                <w:rFonts w:ascii="Arial" w:hAnsi="Arial" w:cs="Arial"/>
                <w:sz w:val="20"/>
                <w:szCs w:val="20"/>
              </w:rPr>
            </w:pPr>
            <w:r w:rsidRPr="00453FA1">
              <w:rPr>
                <w:rFonts w:ascii="Arial" w:hAnsi="Arial" w:cs="Arial"/>
                <w:sz w:val="20"/>
                <w:szCs w:val="20"/>
              </w:rPr>
              <w:t>Law Society and Bar</w:t>
            </w:r>
            <w:r w:rsidR="005C465F" w:rsidRPr="00453FA1">
              <w:rPr>
                <w:rFonts w:ascii="Arial" w:hAnsi="Arial" w:cs="Arial"/>
                <w:sz w:val="20"/>
                <w:szCs w:val="20"/>
              </w:rPr>
              <w:t xml:space="preserve"> Council</w:t>
            </w:r>
            <w:bookmarkStart w:id="0" w:name="_GoBack"/>
            <w:bookmarkEnd w:id="0"/>
            <w:r w:rsidRPr="00453FA1">
              <w:rPr>
                <w:rFonts w:ascii="Arial" w:hAnsi="Arial" w:cs="Arial"/>
                <w:sz w:val="20"/>
                <w:szCs w:val="20"/>
              </w:rPr>
              <w:t xml:space="preserve"> (its constituent lectures and courses qualify as Continuing Professional Development). </w:t>
            </w:r>
          </w:p>
        </w:tc>
      </w:tr>
      <w:tr w:rsidR="0084661A" w:rsidRPr="00453FA1" w:rsidTr="0084661A">
        <w:tc>
          <w:tcPr>
            <w:tcW w:w="4261" w:type="dxa"/>
          </w:tcPr>
          <w:p w:rsidR="0084661A" w:rsidRPr="00453FA1" w:rsidRDefault="0084661A" w:rsidP="0084661A">
            <w:pPr>
              <w:rPr>
                <w:rFonts w:ascii="Arial" w:hAnsi="Arial" w:cs="Arial"/>
                <w:b/>
                <w:bCs/>
                <w:sz w:val="20"/>
                <w:szCs w:val="20"/>
              </w:rPr>
            </w:pPr>
            <w:r w:rsidRPr="00453FA1">
              <w:rPr>
                <w:rFonts w:ascii="Arial" w:hAnsi="Arial" w:cs="Arial"/>
                <w:b/>
                <w:bCs/>
                <w:sz w:val="20"/>
                <w:szCs w:val="20"/>
              </w:rPr>
              <w:t>3. Name of final award</w:t>
            </w:r>
          </w:p>
        </w:tc>
        <w:tc>
          <w:tcPr>
            <w:tcW w:w="4261" w:type="dxa"/>
          </w:tcPr>
          <w:p w:rsidR="0084661A" w:rsidRPr="00453FA1" w:rsidRDefault="0084661A" w:rsidP="006764CF">
            <w:pPr>
              <w:rPr>
                <w:rFonts w:ascii="Arial" w:hAnsi="Arial" w:cs="Arial"/>
                <w:sz w:val="20"/>
                <w:szCs w:val="20"/>
              </w:rPr>
            </w:pPr>
            <w:r w:rsidRPr="00453FA1">
              <w:rPr>
                <w:rFonts w:ascii="Arial" w:hAnsi="Arial" w:cs="Arial"/>
                <w:sz w:val="20"/>
                <w:szCs w:val="20"/>
              </w:rPr>
              <w:t>LLM Master of Law</w:t>
            </w:r>
            <w:r w:rsidR="006764CF" w:rsidRPr="00453FA1">
              <w:rPr>
                <w:rFonts w:ascii="Arial" w:hAnsi="Arial" w:cs="Arial"/>
                <w:sz w:val="20"/>
                <w:szCs w:val="20"/>
              </w:rPr>
              <w:t>s</w:t>
            </w:r>
            <w:r w:rsidRPr="00453FA1">
              <w:rPr>
                <w:rFonts w:ascii="Arial" w:hAnsi="Arial" w:cs="Arial"/>
                <w:sz w:val="20"/>
                <w:szCs w:val="20"/>
              </w:rPr>
              <w:t xml:space="preserve"> </w:t>
            </w:r>
          </w:p>
        </w:tc>
      </w:tr>
      <w:tr w:rsidR="0084661A" w:rsidRPr="00453FA1" w:rsidTr="0084661A">
        <w:tc>
          <w:tcPr>
            <w:tcW w:w="4261" w:type="dxa"/>
          </w:tcPr>
          <w:p w:rsidR="0084661A" w:rsidRPr="00453FA1" w:rsidRDefault="0084661A" w:rsidP="0084661A">
            <w:pPr>
              <w:rPr>
                <w:rFonts w:ascii="Arial" w:hAnsi="Arial" w:cs="Arial"/>
                <w:b/>
                <w:bCs/>
                <w:sz w:val="20"/>
                <w:szCs w:val="20"/>
              </w:rPr>
            </w:pPr>
            <w:r w:rsidRPr="00453FA1">
              <w:rPr>
                <w:rFonts w:ascii="Arial" w:hAnsi="Arial" w:cs="Arial"/>
                <w:b/>
                <w:bCs/>
                <w:sz w:val="20"/>
                <w:szCs w:val="20"/>
              </w:rPr>
              <w:t>4. Programme Title</w:t>
            </w:r>
          </w:p>
        </w:tc>
        <w:tc>
          <w:tcPr>
            <w:tcW w:w="4261" w:type="dxa"/>
          </w:tcPr>
          <w:p w:rsidR="0084661A" w:rsidRPr="00453FA1" w:rsidRDefault="0084661A" w:rsidP="0084661A">
            <w:pPr>
              <w:rPr>
                <w:rFonts w:ascii="Arial" w:hAnsi="Arial" w:cs="Arial"/>
                <w:sz w:val="20"/>
                <w:szCs w:val="20"/>
              </w:rPr>
            </w:pPr>
            <w:r w:rsidRPr="00453FA1">
              <w:rPr>
                <w:rFonts w:ascii="Arial" w:hAnsi="Arial" w:cs="Arial"/>
                <w:sz w:val="20"/>
                <w:szCs w:val="20"/>
              </w:rPr>
              <w:t>LLM</w:t>
            </w:r>
          </w:p>
        </w:tc>
      </w:tr>
      <w:tr w:rsidR="0084661A" w:rsidRPr="00453FA1" w:rsidTr="0084661A">
        <w:tc>
          <w:tcPr>
            <w:tcW w:w="4261" w:type="dxa"/>
          </w:tcPr>
          <w:p w:rsidR="0084661A" w:rsidRPr="00453FA1" w:rsidRDefault="0084661A" w:rsidP="0084661A">
            <w:pPr>
              <w:rPr>
                <w:rFonts w:ascii="Arial" w:hAnsi="Arial" w:cs="Arial"/>
                <w:b/>
                <w:bCs/>
                <w:sz w:val="20"/>
                <w:szCs w:val="20"/>
              </w:rPr>
            </w:pPr>
            <w:r w:rsidRPr="00453FA1">
              <w:rPr>
                <w:rFonts w:ascii="Arial" w:hAnsi="Arial" w:cs="Arial"/>
                <w:b/>
                <w:bCs/>
                <w:sz w:val="20"/>
                <w:szCs w:val="20"/>
              </w:rPr>
              <w:t>5. Duration of the course</w:t>
            </w:r>
          </w:p>
        </w:tc>
        <w:tc>
          <w:tcPr>
            <w:tcW w:w="4261" w:type="dxa"/>
          </w:tcPr>
          <w:p w:rsidR="0084661A" w:rsidRPr="00453FA1" w:rsidRDefault="0084661A" w:rsidP="0084661A">
            <w:pPr>
              <w:rPr>
                <w:rFonts w:ascii="Arial" w:hAnsi="Arial" w:cs="Arial"/>
                <w:sz w:val="20"/>
                <w:szCs w:val="20"/>
              </w:rPr>
            </w:pPr>
            <w:r w:rsidRPr="00453FA1">
              <w:rPr>
                <w:rFonts w:ascii="Arial" w:hAnsi="Arial" w:cs="Arial"/>
                <w:sz w:val="20"/>
                <w:szCs w:val="20"/>
              </w:rPr>
              <w:t>12 months full-time; 24-48 months part-time</w:t>
            </w:r>
          </w:p>
        </w:tc>
      </w:tr>
      <w:tr w:rsidR="0084661A" w:rsidRPr="00453FA1" w:rsidTr="0084661A">
        <w:tc>
          <w:tcPr>
            <w:tcW w:w="4261" w:type="dxa"/>
          </w:tcPr>
          <w:p w:rsidR="0084661A" w:rsidRPr="00453FA1" w:rsidRDefault="0084661A" w:rsidP="0084661A">
            <w:pPr>
              <w:rPr>
                <w:rFonts w:ascii="Arial" w:hAnsi="Arial" w:cs="Arial"/>
                <w:b/>
                <w:bCs/>
                <w:sz w:val="20"/>
                <w:szCs w:val="20"/>
              </w:rPr>
            </w:pPr>
            <w:r w:rsidRPr="00453FA1">
              <w:rPr>
                <w:rFonts w:ascii="Arial" w:hAnsi="Arial" w:cs="Arial"/>
                <w:b/>
                <w:bCs/>
                <w:sz w:val="20"/>
                <w:szCs w:val="20"/>
              </w:rPr>
              <w:t>6. Based in the Department/Institute:</w:t>
            </w:r>
          </w:p>
        </w:tc>
        <w:tc>
          <w:tcPr>
            <w:tcW w:w="4261" w:type="dxa"/>
          </w:tcPr>
          <w:p w:rsidR="0084661A" w:rsidRPr="00453FA1" w:rsidRDefault="0084661A" w:rsidP="0084661A">
            <w:pPr>
              <w:rPr>
                <w:rFonts w:ascii="Arial" w:hAnsi="Arial" w:cs="Arial"/>
                <w:sz w:val="20"/>
                <w:szCs w:val="20"/>
              </w:rPr>
            </w:pPr>
            <w:r w:rsidRPr="00453FA1">
              <w:rPr>
                <w:rFonts w:ascii="Arial" w:hAnsi="Arial" w:cs="Arial"/>
                <w:sz w:val="20"/>
                <w:szCs w:val="20"/>
              </w:rPr>
              <w:t>Law</w:t>
            </w:r>
          </w:p>
        </w:tc>
      </w:tr>
      <w:tr w:rsidR="0084661A" w:rsidRPr="00453FA1" w:rsidTr="0084661A">
        <w:tc>
          <w:tcPr>
            <w:tcW w:w="4261" w:type="dxa"/>
          </w:tcPr>
          <w:p w:rsidR="0084661A" w:rsidRPr="00453FA1" w:rsidRDefault="0084661A" w:rsidP="0084661A">
            <w:pPr>
              <w:rPr>
                <w:rFonts w:ascii="Arial" w:hAnsi="Arial" w:cs="Arial"/>
                <w:b/>
                <w:bCs/>
                <w:sz w:val="20"/>
                <w:szCs w:val="20"/>
              </w:rPr>
            </w:pPr>
            <w:r w:rsidRPr="00453FA1">
              <w:rPr>
                <w:rFonts w:ascii="Arial" w:hAnsi="Arial" w:cs="Arial"/>
                <w:b/>
                <w:bCs/>
                <w:sz w:val="20"/>
                <w:szCs w:val="20"/>
              </w:rPr>
              <w:t>7. Relevant QAA subject benchmark statements</w:t>
            </w:r>
          </w:p>
        </w:tc>
        <w:tc>
          <w:tcPr>
            <w:tcW w:w="4261" w:type="dxa"/>
          </w:tcPr>
          <w:p w:rsidR="0084661A" w:rsidRPr="00453FA1" w:rsidRDefault="0084661A" w:rsidP="0084661A">
            <w:pPr>
              <w:rPr>
                <w:rFonts w:ascii="Arial" w:hAnsi="Arial" w:cs="Arial"/>
                <w:sz w:val="20"/>
                <w:szCs w:val="20"/>
              </w:rPr>
            </w:pPr>
            <w:r w:rsidRPr="00453FA1">
              <w:rPr>
                <w:rFonts w:ascii="Arial" w:hAnsi="Arial" w:cs="Arial"/>
                <w:sz w:val="20"/>
                <w:szCs w:val="20"/>
              </w:rPr>
              <w:t>N/A</w:t>
            </w:r>
          </w:p>
        </w:tc>
      </w:tr>
      <w:tr w:rsidR="0084661A" w:rsidRPr="00453FA1" w:rsidTr="0084661A">
        <w:tc>
          <w:tcPr>
            <w:tcW w:w="4261" w:type="dxa"/>
          </w:tcPr>
          <w:p w:rsidR="0084661A" w:rsidRPr="00453FA1" w:rsidRDefault="0084661A" w:rsidP="0084661A">
            <w:pPr>
              <w:rPr>
                <w:rFonts w:ascii="Arial" w:hAnsi="Arial" w:cs="Arial"/>
                <w:b/>
                <w:bCs/>
                <w:sz w:val="20"/>
                <w:szCs w:val="20"/>
              </w:rPr>
            </w:pPr>
            <w:r w:rsidRPr="00453FA1">
              <w:rPr>
                <w:rFonts w:ascii="Arial" w:hAnsi="Arial" w:cs="Arial"/>
                <w:b/>
                <w:bCs/>
                <w:sz w:val="20"/>
                <w:szCs w:val="20"/>
              </w:rPr>
              <w:t>8. Application Code</w:t>
            </w:r>
          </w:p>
        </w:tc>
        <w:tc>
          <w:tcPr>
            <w:tcW w:w="4261" w:type="dxa"/>
          </w:tcPr>
          <w:p w:rsidR="0084661A" w:rsidRPr="00453FA1" w:rsidRDefault="0084661A" w:rsidP="0084661A">
            <w:pPr>
              <w:rPr>
                <w:rFonts w:ascii="Arial" w:hAnsi="Arial" w:cs="Arial"/>
                <w:sz w:val="20"/>
                <w:szCs w:val="20"/>
              </w:rPr>
            </w:pPr>
            <w:r w:rsidRPr="00453FA1">
              <w:rPr>
                <w:rFonts w:ascii="Arial" w:hAnsi="Arial" w:cs="Arial"/>
                <w:sz w:val="20"/>
                <w:szCs w:val="20"/>
              </w:rPr>
              <w:t>M3U1</w:t>
            </w:r>
          </w:p>
        </w:tc>
      </w:tr>
      <w:tr w:rsidR="0084661A" w:rsidRPr="00453FA1" w:rsidTr="0084661A">
        <w:tc>
          <w:tcPr>
            <w:tcW w:w="4261" w:type="dxa"/>
          </w:tcPr>
          <w:p w:rsidR="0084661A" w:rsidRPr="00453FA1" w:rsidRDefault="0084661A" w:rsidP="0084661A">
            <w:pPr>
              <w:rPr>
                <w:rFonts w:ascii="Arial" w:hAnsi="Arial" w:cs="Arial"/>
                <w:b/>
                <w:bCs/>
                <w:sz w:val="20"/>
                <w:szCs w:val="20"/>
              </w:rPr>
            </w:pPr>
            <w:r w:rsidRPr="00453FA1">
              <w:rPr>
                <w:rFonts w:ascii="Arial" w:hAnsi="Arial" w:cs="Arial"/>
                <w:b/>
                <w:bCs/>
                <w:sz w:val="20"/>
                <w:szCs w:val="20"/>
              </w:rPr>
              <w:t>9. First written/last amended</w:t>
            </w:r>
          </w:p>
        </w:tc>
        <w:tc>
          <w:tcPr>
            <w:tcW w:w="4261" w:type="dxa"/>
          </w:tcPr>
          <w:p w:rsidR="0084661A" w:rsidRPr="00453FA1" w:rsidRDefault="00EE3AA1" w:rsidP="00EE3AA1">
            <w:pPr>
              <w:rPr>
                <w:rFonts w:ascii="Arial" w:hAnsi="Arial" w:cs="Arial"/>
                <w:sz w:val="20"/>
                <w:szCs w:val="20"/>
              </w:rPr>
            </w:pPr>
            <w:r w:rsidRPr="00453FA1">
              <w:rPr>
                <w:rFonts w:ascii="Arial" w:hAnsi="Arial" w:cs="Arial"/>
                <w:sz w:val="20"/>
                <w:szCs w:val="20"/>
              </w:rPr>
              <w:t>April 2003 /</w:t>
            </w:r>
            <w:r w:rsidR="0084661A" w:rsidRPr="00453FA1">
              <w:rPr>
                <w:rFonts w:ascii="Arial" w:hAnsi="Arial" w:cs="Arial"/>
                <w:sz w:val="20"/>
                <w:szCs w:val="20"/>
              </w:rPr>
              <w:t xml:space="preserve"> Dec</w:t>
            </w:r>
            <w:r w:rsidRPr="00453FA1">
              <w:rPr>
                <w:rFonts w:ascii="Arial" w:hAnsi="Arial" w:cs="Arial"/>
                <w:sz w:val="20"/>
                <w:szCs w:val="20"/>
              </w:rPr>
              <w:t>ember</w:t>
            </w:r>
            <w:r w:rsidR="0084661A" w:rsidRPr="00453FA1">
              <w:rPr>
                <w:rFonts w:ascii="Arial" w:hAnsi="Arial" w:cs="Arial"/>
                <w:sz w:val="20"/>
                <w:szCs w:val="20"/>
              </w:rPr>
              <w:t xml:space="preserve"> 2010</w:t>
            </w:r>
          </w:p>
        </w:tc>
      </w:tr>
    </w:tbl>
    <w:p w:rsidR="0084661A" w:rsidRPr="00453FA1" w:rsidRDefault="0084661A" w:rsidP="0084661A">
      <w:pPr>
        <w:rPr>
          <w:rFonts w:ascii="Arial" w:hAnsi="Arial" w:cs="Arial"/>
          <w:b/>
          <w:bCs/>
          <w:sz w:val="20"/>
          <w:szCs w:val="20"/>
        </w:rPr>
      </w:pPr>
    </w:p>
    <w:p w:rsidR="0084661A" w:rsidRPr="00453FA1" w:rsidRDefault="0084661A" w:rsidP="0084661A">
      <w:pPr>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22"/>
      </w:tblGrid>
      <w:tr w:rsidR="00EE3AA1" w:rsidRPr="00453FA1" w:rsidTr="0084661A">
        <w:tc>
          <w:tcPr>
            <w:tcW w:w="8522" w:type="dxa"/>
          </w:tcPr>
          <w:p w:rsidR="00EE3AA1" w:rsidRPr="00453FA1" w:rsidRDefault="00EE3AA1" w:rsidP="0084661A">
            <w:pPr>
              <w:rPr>
                <w:rFonts w:ascii="Arial" w:hAnsi="Arial" w:cs="Arial"/>
                <w:b/>
                <w:bCs/>
                <w:sz w:val="20"/>
                <w:szCs w:val="20"/>
              </w:rPr>
            </w:pPr>
            <w:r w:rsidRPr="00453FA1">
              <w:rPr>
                <w:rFonts w:ascii="Arial" w:hAnsi="Arial" w:cs="Arial"/>
                <w:b/>
                <w:bCs/>
                <w:sz w:val="20"/>
                <w:szCs w:val="20"/>
              </w:rPr>
              <w:t>10. The programme aims to:</w:t>
            </w:r>
          </w:p>
        </w:tc>
      </w:tr>
      <w:tr w:rsidR="0084661A" w:rsidRPr="00453FA1" w:rsidTr="0084661A">
        <w:tc>
          <w:tcPr>
            <w:tcW w:w="8522" w:type="dxa"/>
          </w:tcPr>
          <w:p w:rsidR="00EE3AA1" w:rsidRPr="00453FA1" w:rsidRDefault="00EE3AA1" w:rsidP="00EE3AA1">
            <w:pPr>
              <w:ind w:left="1080"/>
              <w:rPr>
                <w:rFonts w:ascii="Arial" w:hAnsi="Arial" w:cs="Arial"/>
                <w:sz w:val="20"/>
                <w:szCs w:val="20"/>
              </w:rPr>
            </w:pPr>
          </w:p>
          <w:p w:rsidR="0084661A" w:rsidRPr="00453FA1" w:rsidRDefault="0084661A" w:rsidP="00EE3AA1">
            <w:pPr>
              <w:numPr>
                <w:ilvl w:val="0"/>
                <w:numId w:val="21"/>
              </w:numPr>
              <w:rPr>
                <w:rFonts w:ascii="Arial" w:hAnsi="Arial" w:cs="Arial"/>
                <w:sz w:val="20"/>
                <w:szCs w:val="20"/>
              </w:rPr>
            </w:pPr>
            <w:r w:rsidRPr="00453FA1">
              <w:rPr>
                <w:rFonts w:ascii="Arial" w:hAnsi="Arial" w:cs="Arial"/>
                <w:sz w:val="20"/>
                <w:szCs w:val="20"/>
              </w:rPr>
              <w:t>provide intellectually able and demanding students from a wide range of countries and backgrounds with a research-led, state of the art postgraduate lega</w:t>
            </w:r>
            <w:r w:rsidR="00EE3AA1" w:rsidRPr="00453FA1">
              <w:rPr>
                <w:rFonts w:ascii="Arial" w:hAnsi="Arial" w:cs="Arial"/>
                <w:sz w:val="20"/>
                <w:szCs w:val="20"/>
              </w:rPr>
              <w:t>l education;</w:t>
            </w:r>
          </w:p>
          <w:p w:rsidR="0084661A" w:rsidRPr="00453FA1" w:rsidRDefault="0084661A" w:rsidP="00EE3AA1">
            <w:pPr>
              <w:numPr>
                <w:ilvl w:val="0"/>
                <w:numId w:val="21"/>
              </w:numPr>
              <w:rPr>
                <w:rFonts w:ascii="Arial" w:hAnsi="Arial" w:cs="Arial"/>
                <w:sz w:val="20"/>
                <w:szCs w:val="20"/>
              </w:rPr>
            </w:pPr>
            <w:r w:rsidRPr="00453FA1">
              <w:rPr>
                <w:rFonts w:ascii="Arial" w:hAnsi="Arial" w:cs="Arial"/>
                <w:sz w:val="20"/>
                <w:szCs w:val="20"/>
              </w:rPr>
              <w:t xml:space="preserve">equip students for new or enhanced career opportunities by providing the opportunity for the in-depth study of different legal </w:t>
            </w:r>
            <w:proofErr w:type="spellStart"/>
            <w:r w:rsidRPr="00453FA1">
              <w:rPr>
                <w:rFonts w:ascii="Arial" w:hAnsi="Arial" w:cs="Arial"/>
                <w:sz w:val="20"/>
                <w:szCs w:val="20"/>
              </w:rPr>
              <w:t>specialisms</w:t>
            </w:r>
            <w:proofErr w:type="spellEnd"/>
            <w:r w:rsidRPr="00453FA1">
              <w:rPr>
                <w:rFonts w:ascii="Arial" w:hAnsi="Arial" w:cs="Arial"/>
                <w:sz w:val="20"/>
                <w:szCs w:val="20"/>
              </w:rPr>
              <w:t xml:space="preserve">, including topics and disciplines they may not have studied already, and in-depth studies in their own </w:t>
            </w:r>
            <w:proofErr w:type="spellStart"/>
            <w:r w:rsidRPr="00453FA1">
              <w:rPr>
                <w:rFonts w:ascii="Arial" w:hAnsi="Arial" w:cs="Arial"/>
                <w:sz w:val="20"/>
                <w:szCs w:val="20"/>
              </w:rPr>
              <w:t>specialisms</w:t>
            </w:r>
            <w:proofErr w:type="spellEnd"/>
            <w:r w:rsidR="00EE3AA1" w:rsidRPr="00453FA1">
              <w:rPr>
                <w:rFonts w:ascii="Arial" w:hAnsi="Arial" w:cs="Arial"/>
                <w:sz w:val="20"/>
                <w:szCs w:val="20"/>
              </w:rPr>
              <w:t>;</w:t>
            </w:r>
          </w:p>
          <w:p w:rsidR="0084661A" w:rsidRPr="00453FA1" w:rsidRDefault="0084661A" w:rsidP="00EE3AA1">
            <w:pPr>
              <w:numPr>
                <w:ilvl w:val="0"/>
                <w:numId w:val="21"/>
              </w:numPr>
              <w:rPr>
                <w:rFonts w:ascii="Arial" w:hAnsi="Arial" w:cs="Arial"/>
                <w:sz w:val="20"/>
                <w:szCs w:val="20"/>
              </w:rPr>
            </w:pPr>
            <w:r w:rsidRPr="00453FA1">
              <w:rPr>
                <w:rFonts w:ascii="Arial" w:hAnsi="Arial" w:cs="Arial"/>
                <w:sz w:val="20"/>
                <w:szCs w:val="20"/>
              </w:rPr>
              <w:t>refine students’ analytic and theoretical skills through the study of law in its social,</w:t>
            </w:r>
            <w:r w:rsidR="00EE3AA1" w:rsidRPr="00453FA1">
              <w:rPr>
                <w:rFonts w:ascii="Arial" w:hAnsi="Arial" w:cs="Arial"/>
                <w:sz w:val="20"/>
                <w:szCs w:val="20"/>
              </w:rPr>
              <w:t xml:space="preserve"> economic and political context;</w:t>
            </w:r>
          </w:p>
          <w:p w:rsidR="0084661A" w:rsidRPr="00453FA1" w:rsidRDefault="0084661A" w:rsidP="00EE3AA1">
            <w:pPr>
              <w:numPr>
                <w:ilvl w:val="0"/>
                <w:numId w:val="21"/>
              </w:numPr>
              <w:rPr>
                <w:rFonts w:ascii="Arial" w:hAnsi="Arial" w:cs="Arial"/>
                <w:sz w:val="20"/>
                <w:szCs w:val="20"/>
              </w:rPr>
            </w:pPr>
            <w:r w:rsidRPr="00453FA1">
              <w:rPr>
                <w:rFonts w:ascii="Arial" w:hAnsi="Arial" w:cs="Arial"/>
                <w:sz w:val="20"/>
                <w:szCs w:val="20"/>
              </w:rPr>
              <w:t>enhance students’ capacity to conduct legal research, to critically assess arguments and evidence, and to communicate the results in short or long research papers</w:t>
            </w:r>
            <w:r w:rsidR="00EE3AA1" w:rsidRPr="00453FA1">
              <w:rPr>
                <w:rFonts w:ascii="Arial" w:hAnsi="Arial" w:cs="Arial"/>
                <w:sz w:val="20"/>
                <w:szCs w:val="20"/>
              </w:rPr>
              <w:t>;</w:t>
            </w:r>
          </w:p>
          <w:p w:rsidR="0084661A" w:rsidRPr="00453FA1" w:rsidRDefault="0084661A" w:rsidP="00EE3AA1">
            <w:pPr>
              <w:numPr>
                <w:ilvl w:val="0"/>
                <w:numId w:val="21"/>
              </w:numPr>
              <w:rPr>
                <w:rFonts w:ascii="Arial" w:hAnsi="Arial" w:cs="Arial"/>
                <w:b/>
                <w:bCs/>
                <w:sz w:val="20"/>
                <w:szCs w:val="20"/>
              </w:rPr>
            </w:pPr>
            <w:proofErr w:type="gramStart"/>
            <w:r w:rsidRPr="00453FA1">
              <w:rPr>
                <w:rFonts w:ascii="Arial" w:hAnsi="Arial" w:cs="Arial"/>
                <w:sz w:val="20"/>
                <w:szCs w:val="20"/>
              </w:rPr>
              <w:t>expose</w:t>
            </w:r>
            <w:proofErr w:type="gramEnd"/>
            <w:r w:rsidRPr="00453FA1">
              <w:rPr>
                <w:rFonts w:ascii="Arial" w:hAnsi="Arial" w:cs="Arial"/>
                <w:sz w:val="20"/>
                <w:szCs w:val="20"/>
              </w:rPr>
              <w:t xml:space="preserve"> students to contrasting jurisdictional approaches to legal issues</w:t>
            </w:r>
            <w:r w:rsidR="00EE3AA1" w:rsidRPr="00453FA1">
              <w:rPr>
                <w:rFonts w:ascii="Arial" w:hAnsi="Arial" w:cs="Arial"/>
                <w:sz w:val="20"/>
                <w:szCs w:val="20"/>
              </w:rPr>
              <w:t>.</w:t>
            </w:r>
          </w:p>
          <w:p w:rsidR="00EE3AA1" w:rsidRPr="00453FA1" w:rsidRDefault="00EE3AA1" w:rsidP="00EE3AA1">
            <w:pPr>
              <w:ind w:left="1080"/>
              <w:rPr>
                <w:rFonts w:ascii="Arial" w:hAnsi="Arial" w:cs="Arial"/>
                <w:b/>
                <w:bCs/>
                <w:sz w:val="20"/>
                <w:szCs w:val="20"/>
              </w:rPr>
            </w:pPr>
          </w:p>
        </w:tc>
      </w:tr>
    </w:tbl>
    <w:p w:rsidR="0084661A" w:rsidRPr="00453FA1" w:rsidRDefault="0084661A" w:rsidP="0084661A">
      <w:pPr>
        <w:rPr>
          <w:rFonts w:ascii="Arial" w:hAnsi="Arial" w:cs="Arial"/>
          <w:b/>
          <w:bCs/>
          <w:sz w:val="20"/>
          <w:szCs w:val="20"/>
        </w:rPr>
      </w:pPr>
    </w:p>
    <w:p w:rsidR="0084661A" w:rsidRPr="00453FA1" w:rsidRDefault="0084661A" w:rsidP="0084661A">
      <w:pPr>
        <w:rPr>
          <w:rFonts w:ascii="Arial" w:hAnsi="Arial" w:cs="Arial"/>
          <w:b/>
          <w:bCs/>
          <w:sz w:val="20"/>
          <w:szCs w:val="2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68"/>
      </w:tblGrid>
      <w:tr w:rsidR="0084661A" w:rsidRPr="00453FA1" w:rsidTr="0084661A">
        <w:tc>
          <w:tcPr>
            <w:tcW w:w="8568" w:type="dxa"/>
          </w:tcPr>
          <w:p w:rsidR="0084661A" w:rsidRPr="00453FA1" w:rsidRDefault="0084661A" w:rsidP="0084661A">
            <w:pPr>
              <w:rPr>
                <w:rFonts w:ascii="Arial" w:hAnsi="Arial" w:cs="Arial"/>
                <w:b/>
                <w:bCs/>
                <w:sz w:val="20"/>
                <w:szCs w:val="20"/>
              </w:rPr>
            </w:pPr>
            <w:r w:rsidRPr="00453FA1">
              <w:rPr>
                <w:rFonts w:ascii="Arial" w:hAnsi="Arial" w:cs="Arial"/>
                <w:b/>
                <w:bCs/>
                <w:sz w:val="20"/>
                <w:szCs w:val="20"/>
              </w:rPr>
              <w:t>11. Programme outcomes: knowledge and understanding; skills and other attributes</w:t>
            </w:r>
          </w:p>
        </w:tc>
      </w:tr>
      <w:tr w:rsidR="0084661A" w:rsidRPr="00453FA1" w:rsidTr="0084661A">
        <w:tc>
          <w:tcPr>
            <w:tcW w:w="8568" w:type="dxa"/>
          </w:tcPr>
          <w:p w:rsidR="00EE3AA1" w:rsidRPr="00453FA1" w:rsidRDefault="00EE3AA1" w:rsidP="0084661A">
            <w:pPr>
              <w:pStyle w:val="Textoindependiente"/>
              <w:rPr>
                <w:b/>
                <w:bCs/>
                <w:szCs w:val="20"/>
              </w:rPr>
            </w:pPr>
          </w:p>
          <w:p w:rsidR="0084661A" w:rsidRPr="00453FA1" w:rsidRDefault="0084661A" w:rsidP="0084661A">
            <w:pPr>
              <w:pStyle w:val="Textoindependiente"/>
              <w:rPr>
                <w:szCs w:val="20"/>
              </w:rPr>
            </w:pPr>
            <w:r w:rsidRPr="00453FA1">
              <w:rPr>
                <w:b/>
                <w:bCs/>
                <w:szCs w:val="20"/>
              </w:rPr>
              <w:t xml:space="preserve">Knowledge: </w:t>
            </w:r>
            <w:r w:rsidRPr="00453FA1">
              <w:rPr>
                <w:szCs w:val="20"/>
              </w:rPr>
              <w:t xml:space="preserve">A student should demonstrate knowledge and understanding of the principal features of the legal </w:t>
            </w:r>
            <w:proofErr w:type="spellStart"/>
            <w:r w:rsidRPr="00453FA1">
              <w:rPr>
                <w:szCs w:val="20"/>
              </w:rPr>
              <w:t>specialisms</w:t>
            </w:r>
            <w:proofErr w:type="spellEnd"/>
            <w:r w:rsidRPr="00453FA1">
              <w:rPr>
                <w:szCs w:val="20"/>
              </w:rPr>
              <w:t xml:space="preserve"> studied, viz.</w:t>
            </w:r>
            <w:r w:rsidR="00453FA1">
              <w:rPr>
                <w:szCs w:val="20"/>
              </w:rPr>
              <w:t xml:space="preserve"> </w:t>
            </w:r>
            <w:r w:rsidRPr="00453FA1">
              <w:rPr>
                <w:szCs w:val="20"/>
              </w:rPr>
              <w:t>s/he</w:t>
            </w:r>
          </w:p>
          <w:p w:rsidR="0084661A" w:rsidRPr="00453FA1" w:rsidRDefault="0084661A" w:rsidP="00EE3AA1">
            <w:pPr>
              <w:numPr>
                <w:ilvl w:val="0"/>
                <w:numId w:val="21"/>
              </w:numPr>
              <w:rPr>
                <w:rFonts w:ascii="Arial" w:hAnsi="Arial" w:cs="Arial"/>
                <w:sz w:val="20"/>
                <w:szCs w:val="20"/>
              </w:rPr>
            </w:pPr>
            <w:r w:rsidRPr="00453FA1">
              <w:rPr>
                <w:rFonts w:ascii="Arial" w:hAnsi="Arial" w:cs="Arial"/>
                <w:sz w:val="20"/>
                <w:szCs w:val="20"/>
              </w:rPr>
              <w:t>should be able to demonstrate knowledge of a substantial range of major concepts, values, principles and rules of those specialism;</w:t>
            </w:r>
          </w:p>
          <w:p w:rsidR="00EE3AA1" w:rsidRPr="00453FA1" w:rsidRDefault="0084661A" w:rsidP="00EE3AA1">
            <w:pPr>
              <w:numPr>
                <w:ilvl w:val="0"/>
                <w:numId w:val="21"/>
              </w:numPr>
              <w:rPr>
                <w:rFonts w:ascii="Arial" w:hAnsi="Arial" w:cs="Arial"/>
                <w:sz w:val="20"/>
                <w:szCs w:val="20"/>
              </w:rPr>
            </w:pPr>
            <w:r w:rsidRPr="00453FA1">
              <w:rPr>
                <w:rFonts w:ascii="Arial" w:hAnsi="Arial" w:cs="Arial"/>
                <w:sz w:val="20"/>
                <w:szCs w:val="20"/>
              </w:rPr>
              <w:t>should be able to explain the main legal and other institutions and procedures;</w:t>
            </w:r>
          </w:p>
          <w:p w:rsidR="00EE3AA1" w:rsidRPr="00453FA1" w:rsidRDefault="0084661A" w:rsidP="00EE3AA1">
            <w:pPr>
              <w:numPr>
                <w:ilvl w:val="0"/>
                <w:numId w:val="21"/>
              </w:numPr>
              <w:rPr>
                <w:rFonts w:ascii="Arial" w:hAnsi="Arial" w:cs="Arial"/>
                <w:sz w:val="20"/>
                <w:szCs w:val="20"/>
              </w:rPr>
            </w:pPr>
            <w:proofErr w:type="gramStart"/>
            <w:r w:rsidRPr="00453FA1">
              <w:rPr>
                <w:rFonts w:ascii="Arial" w:hAnsi="Arial" w:cs="Arial"/>
                <w:sz w:val="20"/>
                <w:szCs w:val="20"/>
              </w:rPr>
              <w:t>should</w:t>
            </w:r>
            <w:proofErr w:type="gramEnd"/>
            <w:r w:rsidRPr="00453FA1">
              <w:rPr>
                <w:rFonts w:ascii="Arial" w:hAnsi="Arial" w:cs="Arial"/>
                <w:sz w:val="20"/>
                <w:szCs w:val="20"/>
              </w:rPr>
              <w:t xml:space="preserve"> be able to demonstrate the study in depth and in context of some substantive areas of law.</w:t>
            </w:r>
          </w:p>
          <w:p w:rsidR="00EE3AA1" w:rsidRPr="00453FA1" w:rsidRDefault="00EE3AA1" w:rsidP="00EE3AA1">
            <w:pPr>
              <w:rPr>
                <w:rFonts w:ascii="Arial" w:hAnsi="Arial" w:cs="Arial"/>
                <w:sz w:val="20"/>
                <w:szCs w:val="20"/>
              </w:rPr>
            </w:pPr>
          </w:p>
          <w:p w:rsidR="00EE3AA1" w:rsidRPr="00453FA1" w:rsidRDefault="0084661A" w:rsidP="00EE3AA1">
            <w:pPr>
              <w:rPr>
                <w:rFonts w:ascii="Arial" w:hAnsi="Arial" w:cs="Arial"/>
                <w:sz w:val="20"/>
                <w:szCs w:val="20"/>
              </w:rPr>
            </w:pPr>
            <w:r w:rsidRPr="00453FA1">
              <w:rPr>
                <w:rFonts w:ascii="Arial" w:hAnsi="Arial" w:cs="Arial"/>
                <w:b/>
                <w:bCs/>
                <w:sz w:val="20"/>
                <w:szCs w:val="20"/>
              </w:rPr>
              <w:t>Application and problem-solving:</w:t>
            </w:r>
            <w:r w:rsidRPr="00453FA1">
              <w:rPr>
                <w:rFonts w:ascii="Arial" w:hAnsi="Arial" w:cs="Arial"/>
                <w:sz w:val="20"/>
                <w:szCs w:val="20"/>
              </w:rPr>
              <w:t xml:space="preserve"> A student should demonstrate ability to apply his or her knowledge to a situation of limited complexity in order to provide arguable conclusions for concrete problems (actual or hypothetical)</w:t>
            </w:r>
            <w:r w:rsidR="00EE3AA1" w:rsidRPr="00453FA1">
              <w:rPr>
                <w:rFonts w:ascii="Arial" w:hAnsi="Arial" w:cs="Arial"/>
                <w:sz w:val="20"/>
                <w:szCs w:val="20"/>
              </w:rPr>
              <w:t>.</w:t>
            </w:r>
          </w:p>
          <w:p w:rsidR="0084661A" w:rsidRPr="00453FA1" w:rsidRDefault="0084661A" w:rsidP="00EE3AA1">
            <w:pPr>
              <w:rPr>
                <w:rFonts w:ascii="Arial" w:hAnsi="Arial" w:cs="Arial"/>
                <w:sz w:val="20"/>
                <w:szCs w:val="20"/>
              </w:rPr>
            </w:pPr>
            <w:r w:rsidRPr="00453FA1">
              <w:rPr>
                <w:rFonts w:ascii="Arial" w:hAnsi="Arial" w:cs="Arial"/>
                <w:sz w:val="20"/>
                <w:szCs w:val="20"/>
              </w:rPr>
              <w:br/>
            </w:r>
            <w:r w:rsidRPr="00453FA1">
              <w:rPr>
                <w:rFonts w:ascii="Arial" w:hAnsi="Arial" w:cs="Arial"/>
                <w:b/>
                <w:bCs/>
                <w:sz w:val="20"/>
                <w:szCs w:val="20"/>
              </w:rPr>
              <w:t xml:space="preserve">Sources and research: </w:t>
            </w:r>
            <w:r w:rsidRPr="00453FA1">
              <w:rPr>
                <w:rFonts w:ascii="Arial" w:hAnsi="Arial" w:cs="Arial"/>
                <w:sz w:val="20"/>
                <w:szCs w:val="20"/>
              </w:rPr>
              <w:t>A student should demonstrate ability</w:t>
            </w:r>
          </w:p>
          <w:p w:rsidR="0084661A" w:rsidRPr="00453FA1" w:rsidRDefault="0084661A" w:rsidP="00EE3AA1">
            <w:pPr>
              <w:numPr>
                <w:ilvl w:val="0"/>
                <w:numId w:val="21"/>
              </w:numPr>
              <w:rPr>
                <w:rFonts w:ascii="Arial" w:hAnsi="Arial" w:cs="Arial"/>
                <w:sz w:val="20"/>
                <w:szCs w:val="20"/>
              </w:rPr>
            </w:pPr>
            <w:r w:rsidRPr="00453FA1">
              <w:rPr>
                <w:rFonts w:ascii="Arial" w:hAnsi="Arial" w:cs="Arial"/>
                <w:sz w:val="20"/>
                <w:szCs w:val="20"/>
              </w:rPr>
              <w:t>to identify accurately the issue(s) which require researching;</w:t>
            </w:r>
          </w:p>
          <w:p w:rsidR="0084661A" w:rsidRPr="00453FA1" w:rsidRDefault="0084661A" w:rsidP="00EE3AA1">
            <w:pPr>
              <w:numPr>
                <w:ilvl w:val="0"/>
                <w:numId w:val="21"/>
              </w:numPr>
              <w:rPr>
                <w:rFonts w:ascii="Arial" w:hAnsi="Arial" w:cs="Arial"/>
                <w:sz w:val="20"/>
                <w:szCs w:val="20"/>
              </w:rPr>
            </w:pPr>
            <w:r w:rsidRPr="00453FA1">
              <w:rPr>
                <w:rFonts w:ascii="Arial" w:hAnsi="Arial" w:cs="Arial"/>
                <w:sz w:val="20"/>
                <w:szCs w:val="20"/>
              </w:rPr>
              <w:t>to identify and retrieve up-to-date information, using paper and electronic sources;</w:t>
            </w:r>
          </w:p>
          <w:p w:rsidR="00EE3AA1" w:rsidRPr="00453FA1" w:rsidRDefault="0084661A" w:rsidP="00EE3AA1">
            <w:pPr>
              <w:numPr>
                <w:ilvl w:val="0"/>
                <w:numId w:val="21"/>
              </w:numPr>
              <w:rPr>
                <w:rFonts w:ascii="Arial" w:hAnsi="Arial" w:cs="Arial"/>
                <w:sz w:val="20"/>
                <w:szCs w:val="20"/>
              </w:rPr>
            </w:pPr>
            <w:proofErr w:type="gramStart"/>
            <w:r w:rsidRPr="00453FA1">
              <w:rPr>
                <w:rFonts w:ascii="Arial" w:hAnsi="Arial" w:cs="Arial"/>
                <w:sz w:val="20"/>
                <w:szCs w:val="20"/>
              </w:rPr>
              <w:t>to</w:t>
            </w:r>
            <w:proofErr w:type="gramEnd"/>
            <w:r w:rsidRPr="00453FA1">
              <w:rPr>
                <w:rFonts w:ascii="Arial" w:hAnsi="Arial" w:cs="Arial"/>
                <w:sz w:val="20"/>
                <w:szCs w:val="20"/>
              </w:rPr>
              <w:t xml:space="preserve"> use primary and secondary sources relevant to the topic under study.</w:t>
            </w:r>
          </w:p>
          <w:p w:rsidR="00EE3AA1" w:rsidRPr="00453FA1" w:rsidRDefault="00EE3AA1" w:rsidP="00EE3AA1">
            <w:pPr>
              <w:rPr>
                <w:rFonts w:ascii="Arial" w:hAnsi="Arial" w:cs="Arial"/>
                <w:sz w:val="20"/>
                <w:szCs w:val="20"/>
              </w:rPr>
            </w:pPr>
          </w:p>
          <w:p w:rsidR="0084661A" w:rsidRPr="00453FA1" w:rsidRDefault="0084661A" w:rsidP="00EE3AA1">
            <w:pPr>
              <w:rPr>
                <w:rFonts w:ascii="Arial" w:hAnsi="Arial" w:cs="Arial"/>
                <w:sz w:val="20"/>
                <w:szCs w:val="20"/>
              </w:rPr>
            </w:pPr>
            <w:r w:rsidRPr="00453FA1">
              <w:rPr>
                <w:rFonts w:ascii="Arial" w:hAnsi="Arial" w:cs="Arial"/>
                <w:b/>
                <w:bCs/>
                <w:sz w:val="20"/>
                <w:szCs w:val="20"/>
              </w:rPr>
              <w:t>General transferable intellectual skills:</w:t>
            </w:r>
          </w:p>
          <w:p w:rsidR="0084661A" w:rsidRPr="00453FA1" w:rsidRDefault="0084661A" w:rsidP="0084661A">
            <w:pPr>
              <w:pStyle w:val="Textoindependiente"/>
              <w:rPr>
                <w:szCs w:val="20"/>
              </w:rPr>
            </w:pPr>
            <w:r w:rsidRPr="00453FA1">
              <w:rPr>
                <w:szCs w:val="20"/>
              </w:rPr>
              <w:t xml:space="preserve">Analysis, synthesis, critical judgement and evaluation: A student should demonstrate ability </w:t>
            </w:r>
          </w:p>
          <w:p w:rsidR="0084661A" w:rsidRPr="00453FA1" w:rsidRDefault="0084661A" w:rsidP="00EE3AA1">
            <w:pPr>
              <w:numPr>
                <w:ilvl w:val="0"/>
                <w:numId w:val="21"/>
              </w:numPr>
              <w:rPr>
                <w:rFonts w:ascii="Arial" w:hAnsi="Arial" w:cs="Arial"/>
                <w:sz w:val="20"/>
                <w:szCs w:val="20"/>
              </w:rPr>
            </w:pPr>
            <w:r w:rsidRPr="00453FA1">
              <w:rPr>
                <w:rFonts w:ascii="Arial" w:hAnsi="Arial" w:cs="Arial"/>
                <w:sz w:val="20"/>
                <w:szCs w:val="20"/>
              </w:rPr>
              <w:t>to recognise and rank items and issues in terms of relevance and importance;</w:t>
            </w:r>
          </w:p>
          <w:p w:rsidR="0084661A" w:rsidRPr="00453FA1" w:rsidRDefault="0084661A" w:rsidP="00EE3AA1">
            <w:pPr>
              <w:numPr>
                <w:ilvl w:val="0"/>
                <w:numId w:val="21"/>
              </w:numPr>
              <w:rPr>
                <w:rFonts w:ascii="Arial" w:hAnsi="Arial" w:cs="Arial"/>
                <w:sz w:val="20"/>
                <w:szCs w:val="20"/>
              </w:rPr>
            </w:pPr>
            <w:r w:rsidRPr="00453FA1">
              <w:rPr>
                <w:rFonts w:ascii="Arial" w:hAnsi="Arial" w:cs="Arial"/>
                <w:sz w:val="20"/>
                <w:szCs w:val="20"/>
              </w:rPr>
              <w:t>to bring together information and materials from a variety of different sources;</w:t>
            </w:r>
          </w:p>
          <w:p w:rsidR="00EE3AA1" w:rsidRPr="00453FA1" w:rsidRDefault="00EE3AA1" w:rsidP="00EE3AA1">
            <w:pPr>
              <w:ind w:left="1080"/>
              <w:rPr>
                <w:rFonts w:ascii="Arial" w:hAnsi="Arial" w:cs="Arial"/>
                <w:sz w:val="20"/>
                <w:szCs w:val="20"/>
              </w:rPr>
            </w:pPr>
          </w:p>
          <w:p w:rsidR="00EE3AA1" w:rsidRPr="00453FA1" w:rsidRDefault="00EE3AA1" w:rsidP="00EE3AA1">
            <w:pPr>
              <w:rPr>
                <w:rFonts w:ascii="Arial" w:hAnsi="Arial" w:cs="Arial"/>
                <w:sz w:val="20"/>
                <w:szCs w:val="20"/>
              </w:rPr>
            </w:pPr>
          </w:p>
          <w:p w:rsidR="00EE3AA1" w:rsidRPr="00453FA1" w:rsidRDefault="00EE3AA1" w:rsidP="00EE3AA1">
            <w:pPr>
              <w:pStyle w:val="Prrafodelista"/>
              <w:rPr>
                <w:rFonts w:ascii="Arial" w:hAnsi="Arial" w:cs="Arial"/>
                <w:sz w:val="20"/>
                <w:szCs w:val="20"/>
              </w:rPr>
            </w:pPr>
          </w:p>
          <w:p w:rsidR="0084661A" w:rsidRPr="00453FA1" w:rsidRDefault="0084661A" w:rsidP="00EE3AA1">
            <w:pPr>
              <w:numPr>
                <w:ilvl w:val="0"/>
                <w:numId w:val="21"/>
              </w:numPr>
              <w:rPr>
                <w:rFonts w:ascii="Arial" w:hAnsi="Arial" w:cs="Arial"/>
                <w:sz w:val="20"/>
                <w:szCs w:val="20"/>
              </w:rPr>
            </w:pPr>
            <w:r w:rsidRPr="00453FA1">
              <w:rPr>
                <w:rFonts w:ascii="Arial" w:hAnsi="Arial" w:cs="Arial"/>
                <w:sz w:val="20"/>
                <w:szCs w:val="20"/>
              </w:rPr>
              <w:t>to produce a synthesis of relevant doctrinal and policy issues in relation to a topic;</w:t>
            </w:r>
          </w:p>
          <w:p w:rsidR="0084661A" w:rsidRPr="00453FA1" w:rsidRDefault="0084661A" w:rsidP="00EE3AA1">
            <w:pPr>
              <w:numPr>
                <w:ilvl w:val="0"/>
                <w:numId w:val="21"/>
              </w:numPr>
              <w:rPr>
                <w:rFonts w:ascii="Arial" w:hAnsi="Arial" w:cs="Arial"/>
                <w:sz w:val="20"/>
                <w:szCs w:val="20"/>
              </w:rPr>
            </w:pPr>
            <w:r w:rsidRPr="00453FA1">
              <w:rPr>
                <w:rFonts w:ascii="Arial" w:hAnsi="Arial" w:cs="Arial"/>
                <w:sz w:val="20"/>
                <w:szCs w:val="20"/>
              </w:rPr>
              <w:t>to make a critical judgement of the merits of particular arguments;</w:t>
            </w:r>
          </w:p>
          <w:p w:rsidR="0084661A" w:rsidRPr="00453FA1" w:rsidRDefault="0084661A" w:rsidP="00EE3AA1">
            <w:pPr>
              <w:numPr>
                <w:ilvl w:val="0"/>
                <w:numId w:val="21"/>
              </w:numPr>
              <w:rPr>
                <w:rFonts w:ascii="Arial" w:hAnsi="Arial" w:cs="Arial"/>
                <w:sz w:val="20"/>
                <w:szCs w:val="20"/>
              </w:rPr>
            </w:pPr>
            <w:proofErr w:type="gramStart"/>
            <w:r w:rsidRPr="00453FA1">
              <w:rPr>
                <w:rFonts w:ascii="Arial" w:hAnsi="Arial" w:cs="Arial"/>
                <w:sz w:val="20"/>
                <w:szCs w:val="20"/>
              </w:rPr>
              <w:t>to</w:t>
            </w:r>
            <w:proofErr w:type="gramEnd"/>
            <w:r w:rsidRPr="00453FA1">
              <w:rPr>
                <w:rFonts w:ascii="Arial" w:hAnsi="Arial" w:cs="Arial"/>
                <w:sz w:val="20"/>
                <w:szCs w:val="20"/>
              </w:rPr>
              <w:t xml:space="preserve"> present and make a reasoned choice between alternative solutions.</w:t>
            </w:r>
          </w:p>
          <w:p w:rsidR="0084661A" w:rsidRPr="00453FA1" w:rsidRDefault="0084661A" w:rsidP="00EE3AA1">
            <w:pPr>
              <w:numPr>
                <w:ilvl w:val="0"/>
                <w:numId w:val="21"/>
              </w:numPr>
              <w:rPr>
                <w:rFonts w:ascii="Arial" w:hAnsi="Arial" w:cs="Arial"/>
                <w:sz w:val="20"/>
                <w:szCs w:val="20"/>
              </w:rPr>
            </w:pPr>
            <w:r w:rsidRPr="00453FA1">
              <w:rPr>
                <w:rFonts w:ascii="Arial" w:hAnsi="Arial" w:cs="Arial"/>
                <w:sz w:val="20"/>
                <w:szCs w:val="20"/>
              </w:rPr>
              <w:t>Autonomy and ability to learn: A student should demonstrate ability, with limited guidance</w:t>
            </w:r>
            <w:r w:rsidR="00453FA1">
              <w:rPr>
                <w:rFonts w:ascii="Arial" w:hAnsi="Arial" w:cs="Arial"/>
                <w:sz w:val="20"/>
                <w:szCs w:val="20"/>
              </w:rPr>
              <w:t>;</w:t>
            </w:r>
          </w:p>
          <w:p w:rsidR="0084661A" w:rsidRPr="00453FA1" w:rsidRDefault="0084661A" w:rsidP="00EE3AA1">
            <w:pPr>
              <w:numPr>
                <w:ilvl w:val="0"/>
                <w:numId w:val="21"/>
              </w:numPr>
              <w:rPr>
                <w:rFonts w:ascii="Arial" w:hAnsi="Arial" w:cs="Arial"/>
                <w:sz w:val="20"/>
                <w:szCs w:val="20"/>
              </w:rPr>
            </w:pPr>
            <w:r w:rsidRPr="00453FA1">
              <w:rPr>
                <w:rFonts w:ascii="Arial" w:hAnsi="Arial" w:cs="Arial"/>
                <w:sz w:val="20"/>
                <w:szCs w:val="20"/>
              </w:rPr>
              <w:t>to act independently in planning and undertaking tasks in the areas of law which he or she has already studied;</w:t>
            </w:r>
          </w:p>
          <w:p w:rsidR="0084661A" w:rsidRPr="00453FA1" w:rsidRDefault="0084661A" w:rsidP="00EE3AA1">
            <w:pPr>
              <w:numPr>
                <w:ilvl w:val="0"/>
                <w:numId w:val="21"/>
              </w:numPr>
              <w:rPr>
                <w:rFonts w:ascii="Arial" w:hAnsi="Arial" w:cs="Arial"/>
                <w:sz w:val="20"/>
                <w:szCs w:val="20"/>
              </w:rPr>
            </w:pPr>
            <w:r w:rsidRPr="00453FA1">
              <w:rPr>
                <w:rFonts w:ascii="Arial" w:hAnsi="Arial" w:cs="Arial"/>
                <w:sz w:val="20"/>
                <w:szCs w:val="20"/>
              </w:rPr>
              <w:t>to be able to undertake independent research in areas which he or she has not previously studied starting from standard information sources;</w:t>
            </w:r>
          </w:p>
          <w:p w:rsidR="0084661A" w:rsidRPr="00453FA1" w:rsidRDefault="0084661A" w:rsidP="00EE3AA1">
            <w:pPr>
              <w:numPr>
                <w:ilvl w:val="0"/>
                <w:numId w:val="21"/>
              </w:numPr>
              <w:rPr>
                <w:rFonts w:ascii="Arial" w:hAnsi="Arial" w:cs="Arial"/>
                <w:sz w:val="20"/>
                <w:szCs w:val="20"/>
              </w:rPr>
            </w:pPr>
            <w:proofErr w:type="gramStart"/>
            <w:r w:rsidRPr="00453FA1">
              <w:rPr>
                <w:rFonts w:ascii="Arial" w:hAnsi="Arial" w:cs="Arial"/>
                <w:sz w:val="20"/>
                <w:szCs w:val="20"/>
              </w:rPr>
              <w:t>to</w:t>
            </w:r>
            <w:proofErr w:type="gramEnd"/>
            <w:r w:rsidRPr="00453FA1">
              <w:rPr>
                <w:rFonts w:ascii="Arial" w:hAnsi="Arial" w:cs="Arial"/>
                <w:sz w:val="20"/>
                <w:szCs w:val="20"/>
              </w:rPr>
              <w:t xml:space="preserve"> reflect on his or her own learning, and to seek and make use of feedback.</w:t>
            </w:r>
          </w:p>
          <w:p w:rsidR="00EE3AA1" w:rsidRPr="00453FA1" w:rsidRDefault="00EE3AA1" w:rsidP="00EE3AA1">
            <w:pPr>
              <w:ind w:left="1080"/>
              <w:rPr>
                <w:rFonts w:ascii="Arial" w:hAnsi="Arial" w:cs="Arial"/>
                <w:sz w:val="20"/>
                <w:szCs w:val="20"/>
              </w:rPr>
            </w:pPr>
          </w:p>
          <w:p w:rsidR="0084661A" w:rsidRPr="00453FA1" w:rsidRDefault="0084661A" w:rsidP="0084661A">
            <w:pPr>
              <w:pStyle w:val="Textoindependiente"/>
              <w:rPr>
                <w:szCs w:val="20"/>
              </w:rPr>
            </w:pPr>
            <w:r w:rsidRPr="00453FA1">
              <w:rPr>
                <w:b/>
                <w:bCs/>
                <w:szCs w:val="20"/>
              </w:rPr>
              <w:t xml:space="preserve">Key Skills: </w:t>
            </w:r>
          </w:p>
          <w:p w:rsidR="0084661A" w:rsidRPr="00453FA1" w:rsidRDefault="0084661A" w:rsidP="0084661A">
            <w:pPr>
              <w:pStyle w:val="Textoindependiente"/>
              <w:rPr>
                <w:szCs w:val="20"/>
              </w:rPr>
            </w:pPr>
            <w:r w:rsidRPr="00453FA1">
              <w:rPr>
                <w:szCs w:val="20"/>
              </w:rPr>
              <w:t>Communication and Literacy: Both orally and in writing, a student should demonstrate ability</w:t>
            </w:r>
          </w:p>
          <w:p w:rsidR="0084661A" w:rsidRPr="00453FA1" w:rsidRDefault="0084661A" w:rsidP="00EE3AA1">
            <w:pPr>
              <w:numPr>
                <w:ilvl w:val="0"/>
                <w:numId w:val="21"/>
              </w:numPr>
              <w:rPr>
                <w:rFonts w:ascii="Arial" w:hAnsi="Arial" w:cs="Arial"/>
                <w:sz w:val="20"/>
                <w:szCs w:val="20"/>
              </w:rPr>
            </w:pPr>
            <w:r w:rsidRPr="00453FA1">
              <w:rPr>
                <w:rFonts w:ascii="Arial" w:hAnsi="Arial" w:cs="Arial"/>
                <w:sz w:val="20"/>
                <w:szCs w:val="20"/>
              </w:rPr>
              <w:t>to understand and use the English language proficiently in relation to legal matters;</w:t>
            </w:r>
          </w:p>
          <w:p w:rsidR="0084661A" w:rsidRPr="00453FA1" w:rsidRDefault="0084661A" w:rsidP="00EE3AA1">
            <w:pPr>
              <w:numPr>
                <w:ilvl w:val="0"/>
                <w:numId w:val="21"/>
              </w:numPr>
              <w:rPr>
                <w:rFonts w:ascii="Arial" w:hAnsi="Arial" w:cs="Arial"/>
                <w:sz w:val="20"/>
                <w:szCs w:val="20"/>
              </w:rPr>
            </w:pPr>
            <w:r w:rsidRPr="00453FA1">
              <w:rPr>
                <w:rFonts w:ascii="Arial" w:hAnsi="Arial" w:cs="Arial"/>
                <w:sz w:val="20"/>
                <w:szCs w:val="20"/>
              </w:rPr>
              <w:t>to present knowledge or an argument in a way which is comprehensible to others and which is directed at their concerns;</w:t>
            </w:r>
          </w:p>
          <w:p w:rsidR="0084661A" w:rsidRPr="00453FA1" w:rsidRDefault="0084661A" w:rsidP="00EE3AA1">
            <w:pPr>
              <w:numPr>
                <w:ilvl w:val="0"/>
                <w:numId w:val="21"/>
              </w:numPr>
              <w:rPr>
                <w:rFonts w:ascii="Arial" w:hAnsi="Arial" w:cs="Arial"/>
                <w:sz w:val="20"/>
                <w:szCs w:val="20"/>
              </w:rPr>
            </w:pPr>
            <w:proofErr w:type="gramStart"/>
            <w:r w:rsidRPr="00453FA1">
              <w:rPr>
                <w:rFonts w:ascii="Arial" w:hAnsi="Arial" w:cs="Arial"/>
                <w:sz w:val="20"/>
                <w:szCs w:val="20"/>
              </w:rPr>
              <w:t>to</w:t>
            </w:r>
            <w:proofErr w:type="gramEnd"/>
            <w:r w:rsidRPr="00453FA1">
              <w:rPr>
                <w:rFonts w:ascii="Arial" w:hAnsi="Arial" w:cs="Arial"/>
                <w:sz w:val="20"/>
                <w:szCs w:val="20"/>
              </w:rPr>
              <w:t xml:space="preserve"> read and discuss legal materials which are written in technical and complex language.</w:t>
            </w:r>
          </w:p>
          <w:p w:rsidR="00EE3AA1" w:rsidRPr="00453FA1" w:rsidRDefault="00EE3AA1" w:rsidP="00EE3AA1">
            <w:pPr>
              <w:ind w:left="1080"/>
              <w:rPr>
                <w:rFonts w:ascii="Arial" w:hAnsi="Arial" w:cs="Arial"/>
                <w:sz w:val="20"/>
                <w:szCs w:val="20"/>
              </w:rPr>
            </w:pPr>
          </w:p>
          <w:p w:rsidR="0084661A" w:rsidRPr="00453FA1" w:rsidRDefault="0084661A" w:rsidP="0084661A">
            <w:pPr>
              <w:pStyle w:val="Textoindependiente"/>
              <w:rPr>
                <w:szCs w:val="20"/>
              </w:rPr>
            </w:pPr>
            <w:r w:rsidRPr="00453FA1">
              <w:rPr>
                <w:szCs w:val="20"/>
              </w:rPr>
              <w:t>Other key skills: numeracy, information technology and teamwork: A student should demonstrate ability</w:t>
            </w:r>
          </w:p>
          <w:p w:rsidR="0084661A" w:rsidRPr="00453FA1" w:rsidRDefault="0084661A" w:rsidP="00EE3AA1">
            <w:pPr>
              <w:numPr>
                <w:ilvl w:val="0"/>
                <w:numId w:val="21"/>
              </w:numPr>
              <w:rPr>
                <w:rFonts w:ascii="Arial" w:hAnsi="Arial" w:cs="Arial"/>
                <w:sz w:val="20"/>
                <w:szCs w:val="20"/>
              </w:rPr>
            </w:pPr>
            <w:r w:rsidRPr="00453FA1">
              <w:rPr>
                <w:rFonts w:ascii="Arial" w:hAnsi="Arial" w:cs="Arial"/>
                <w:sz w:val="20"/>
                <w:szCs w:val="20"/>
              </w:rPr>
              <w:t>to produce a word-processed essay or other text and to present such work in an appropriate form;</w:t>
            </w:r>
          </w:p>
          <w:p w:rsidR="0084661A" w:rsidRPr="00453FA1" w:rsidRDefault="0084661A" w:rsidP="00EE3AA1">
            <w:pPr>
              <w:numPr>
                <w:ilvl w:val="0"/>
                <w:numId w:val="21"/>
              </w:numPr>
              <w:rPr>
                <w:rFonts w:ascii="Arial" w:hAnsi="Arial" w:cs="Arial"/>
                <w:sz w:val="20"/>
                <w:szCs w:val="20"/>
              </w:rPr>
            </w:pPr>
            <w:r w:rsidRPr="00453FA1">
              <w:rPr>
                <w:rFonts w:ascii="Arial" w:hAnsi="Arial" w:cs="Arial"/>
                <w:sz w:val="20"/>
                <w:szCs w:val="20"/>
              </w:rPr>
              <w:t>to use the internet and e-mail</w:t>
            </w:r>
            <w:r w:rsidR="00453FA1">
              <w:rPr>
                <w:rFonts w:ascii="Arial" w:hAnsi="Arial" w:cs="Arial"/>
                <w:sz w:val="20"/>
                <w:szCs w:val="20"/>
              </w:rPr>
              <w:t>;</w:t>
            </w:r>
          </w:p>
          <w:p w:rsidR="0084661A" w:rsidRPr="00453FA1" w:rsidRDefault="0084661A" w:rsidP="00EE3AA1">
            <w:pPr>
              <w:numPr>
                <w:ilvl w:val="0"/>
                <w:numId w:val="21"/>
              </w:numPr>
              <w:rPr>
                <w:rFonts w:ascii="Arial" w:hAnsi="Arial" w:cs="Arial"/>
                <w:sz w:val="20"/>
                <w:szCs w:val="20"/>
              </w:rPr>
            </w:pPr>
            <w:r w:rsidRPr="00453FA1">
              <w:rPr>
                <w:rFonts w:ascii="Arial" w:hAnsi="Arial" w:cs="Arial"/>
                <w:sz w:val="20"/>
                <w:szCs w:val="20"/>
              </w:rPr>
              <w:t>to use some electronic information retrieval systems;</w:t>
            </w:r>
          </w:p>
          <w:p w:rsidR="0084661A" w:rsidRPr="00453FA1" w:rsidRDefault="0084661A" w:rsidP="00EE3AA1">
            <w:pPr>
              <w:numPr>
                <w:ilvl w:val="0"/>
                <w:numId w:val="21"/>
              </w:numPr>
              <w:rPr>
                <w:rFonts w:ascii="Arial" w:hAnsi="Arial" w:cs="Arial"/>
                <w:sz w:val="20"/>
                <w:szCs w:val="20"/>
              </w:rPr>
            </w:pPr>
            <w:r w:rsidRPr="00453FA1">
              <w:rPr>
                <w:rFonts w:ascii="Arial" w:hAnsi="Arial" w:cs="Arial"/>
                <w:sz w:val="20"/>
                <w:szCs w:val="20"/>
              </w:rPr>
              <w:t>to work in groups as a participant who contributes effectively to the group’s task</w:t>
            </w:r>
            <w:r w:rsidR="00453FA1">
              <w:rPr>
                <w:rFonts w:ascii="Arial" w:hAnsi="Arial" w:cs="Arial"/>
                <w:sz w:val="20"/>
                <w:szCs w:val="20"/>
              </w:rPr>
              <w:t>;</w:t>
            </w:r>
          </w:p>
          <w:p w:rsidR="0084661A" w:rsidRPr="00453FA1" w:rsidRDefault="0084661A" w:rsidP="00EE3AA1">
            <w:pPr>
              <w:numPr>
                <w:ilvl w:val="0"/>
                <w:numId w:val="21"/>
              </w:numPr>
              <w:rPr>
                <w:rFonts w:ascii="Arial" w:hAnsi="Arial" w:cs="Arial"/>
                <w:sz w:val="20"/>
                <w:szCs w:val="20"/>
              </w:rPr>
            </w:pPr>
            <w:r w:rsidRPr="00453FA1">
              <w:rPr>
                <w:rFonts w:ascii="Arial" w:hAnsi="Arial" w:cs="Arial"/>
                <w:sz w:val="20"/>
                <w:szCs w:val="20"/>
              </w:rPr>
              <w:t>where relevant and as the basis for an argument, to use, present and evaluate information provided in numerical or statistical form;</w:t>
            </w:r>
            <w:r w:rsidRPr="00453FA1">
              <w:rPr>
                <w:rFonts w:ascii="Arial" w:hAnsi="Arial" w:cs="Arial"/>
                <w:sz w:val="20"/>
                <w:szCs w:val="20"/>
              </w:rPr>
              <w:br/>
            </w:r>
          </w:p>
          <w:p w:rsidR="0084661A" w:rsidRPr="00453FA1" w:rsidRDefault="0084661A" w:rsidP="0084661A">
            <w:pPr>
              <w:rPr>
                <w:rFonts w:ascii="Arial" w:hAnsi="Arial" w:cs="Arial"/>
                <w:sz w:val="20"/>
                <w:szCs w:val="20"/>
              </w:rPr>
            </w:pPr>
            <w:r w:rsidRPr="00453FA1">
              <w:rPr>
                <w:rFonts w:ascii="Arial" w:hAnsi="Arial" w:cs="Arial"/>
                <w:sz w:val="20"/>
                <w:szCs w:val="20"/>
              </w:rPr>
              <w:t xml:space="preserve">Information relating to </w:t>
            </w:r>
            <w:hyperlink r:id="rId5" w:history="1">
              <w:r w:rsidRPr="00453FA1">
                <w:rPr>
                  <w:rStyle w:val="Hipervnculo"/>
                  <w:rFonts w:ascii="Arial" w:hAnsi="Arial" w:cs="Arial"/>
                  <w:sz w:val="20"/>
                  <w:szCs w:val="20"/>
                </w:rPr>
                <w:t>careers</w:t>
              </w:r>
            </w:hyperlink>
            <w:r w:rsidR="00453FA1" w:rsidRPr="00453FA1">
              <w:rPr>
                <w:rFonts w:ascii="Arial" w:hAnsi="Arial" w:cs="Arial"/>
                <w:sz w:val="20"/>
                <w:szCs w:val="20"/>
              </w:rPr>
              <w:t>.</w:t>
            </w:r>
          </w:p>
          <w:p w:rsidR="0084661A" w:rsidRPr="00453FA1" w:rsidRDefault="0084661A" w:rsidP="0084661A">
            <w:pPr>
              <w:pStyle w:val="Textoindependiente"/>
              <w:rPr>
                <w:szCs w:val="20"/>
              </w:rPr>
            </w:pPr>
          </w:p>
        </w:tc>
      </w:tr>
    </w:tbl>
    <w:p w:rsidR="0084661A" w:rsidRPr="00453FA1" w:rsidRDefault="0084661A" w:rsidP="0084661A">
      <w:pPr>
        <w:rPr>
          <w:rFonts w:ascii="Arial" w:hAnsi="Arial" w:cs="Arial"/>
          <w:b/>
          <w:bCs/>
          <w:sz w:val="20"/>
          <w:szCs w:val="20"/>
        </w:rPr>
      </w:pPr>
    </w:p>
    <w:p w:rsidR="0084661A" w:rsidRPr="00453FA1" w:rsidRDefault="0084661A" w:rsidP="0084661A">
      <w:pPr>
        <w:rPr>
          <w:rFonts w:ascii="Arial" w:hAnsi="Arial" w:cs="Arial"/>
          <w:b/>
          <w:bCs/>
          <w:sz w:val="20"/>
          <w:szCs w:val="2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68"/>
      </w:tblGrid>
      <w:tr w:rsidR="0084661A" w:rsidRPr="00453FA1" w:rsidTr="0084661A">
        <w:tc>
          <w:tcPr>
            <w:tcW w:w="8568" w:type="dxa"/>
          </w:tcPr>
          <w:p w:rsidR="0084661A" w:rsidRPr="00453FA1" w:rsidRDefault="0084661A" w:rsidP="0084661A">
            <w:pPr>
              <w:rPr>
                <w:rFonts w:ascii="Arial" w:hAnsi="Arial" w:cs="Arial"/>
                <w:b/>
                <w:bCs/>
                <w:sz w:val="20"/>
                <w:szCs w:val="20"/>
              </w:rPr>
            </w:pPr>
            <w:r w:rsidRPr="00453FA1">
              <w:rPr>
                <w:rFonts w:ascii="Arial" w:hAnsi="Arial" w:cs="Arial"/>
                <w:b/>
                <w:bCs/>
                <w:sz w:val="20"/>
                <w:szCs w:val="20"/>
              </w:rPr>
              <w:t>12. Teaching, learning and assessment strategies to enable outcomes to be achieved and demonstrated</w:t>
            </w:r>
          </w:p>
        </w:tc>
      </w:tr>
      <w:tr w:rsidR="0084661A" w:rsidRPr="00453FA1" w:rsidTr="0084661A">
        <w:tc>
          <w:tcPr>
            <w:tcW w:w="8568" w:type="dxa"/>
          </w:tcPr>
          <w:p w:rsidR="00453FA1" w:rsidRDefault="00453FA1" w:rsidP="0084661A">
            <w:pPr>
              <w:rPr>
                <w:rFonts w:ascii="Arial" w:hAnsi="Arial" w:cs="Arial"/>
                <w:sz w:val="20"/>
                <w:szCs w:val="20"/>
              </w:rPr>
            </w:pPr>
          </w:p>
          <w:p w:rsidR="0084661A" w:rsidRPr="00453FA1" w:rsidRDefault="0084661A" w:rsidP="0084661A">
            <w:pPr>
              <w:rPr>
                <w:rFonts w:ascii="Arial" w:hAnsi="Arial" w:cs="Arial"/>
                <w:sz w:val="20"/>
                <w:szCs w:val="20"/>
              </w:rPr>
            </w:pPr>
            <w:r w:rsidRPr="00453FA1">
              <w:rPr>
                <w:rFonts w:ascii="Arial" w:hAnsi="Arial" w:cs="Arial"/>
                <w:sz w:val="20"/>
                <w:szCs w:val="20"/>
              </w:rPr>
              <w:t>The LLM programme is examined by the equivalent of four full unit courses (some courses are half-units).</w:t>
            </w:r>
          </w:p>
          <w:p w:rsidR="0084661A" w:rsidRPr="00453FA1" w:rsidRDefault="0084661A" w:rsidP="0084661A">
            <w:pPr>
              <w:rPr>
                <w:rFonts w:ascii="Arial" w:hAnsi="Arial" w:cs="Arial"/>
                <w:sz w:val="20"/>
                <w:szCs w:val="20"/>
              </w:rPr>
            </w:pPr>
          </w:p>
          <w:p w:rsidR="0084661A" w:rsidRPr="00453FA1" w:rsidRDefault="0084661A" w:rsidP="0084661A">
            <w:pPr>
              <w:rPr>
                <w:rFonts w:ascii="Arial" w:hAnsi="Arial" w:cs="Arial"/>
                <w:sz w:val="20"/>
                <w:szCs w:val="20"/>
              </w:rPr>
            </w:pPr>
            <w:r w:rsidRPr="00453FA1">
              <w:rPr>
                <w:rFonts w:ascii="Arial" w:hAnsi="Arial" w:cs="Arial"/>
                <w:sz w:val="20"/>
                <w:szCs w:val="20"/>
              </w:rPr>
              <w:t xml:space="preserve">A compulsory writing requirement applies: a minimum </w:t>
            </w:r>
            <w:proofErr w:type="gramStart"/>
            <w:r w:rsidRPr="00453FA1">
              <w:rPr>
                <w:rFonts w:ascii="Arial" w:hAnsi="Arial" w:cs="Arial"/>
                <w:sz w:val="20"/>
                <w:szCs w:val="20"/>
              </w:rPr>
              <w:t>of  .</w:t>
            </w:r>
            <w:proofErr w:type="gramEnd"/>
            <w:r w:rsidRPr="00453FA1">
              <w:rPr>
                <w:rFonts w:ascii="Arial" w:hAnsi="Arial" w:cs="Arial"/>
                <w:sz w:val="20"/>
                <w:szCs w:val="20"/>
              </w:rPr>
              <w:t>5 units must be assessed by an 8,000 word extended (where the essay is the nominated course assessment) or elective (where the student elects to write an essay) essay.  The other units taken by students may also be examined by elective/extended essay (half unit), or dissertation (full unit)</w:t>
            </w:r>
            <w:proofErr w:type="gramStart"/>
            <w:r w:rsidRPr="00453FA1">
              <w:rPr>
                <w:rFonts w:ascii="Arial" w:hAnsi="Arial" w:cs="Arial"/>
                <w:sz w:val="20"/>
                <w:szCs w:val="20"/>
              </w:rPr>
              <w:t>,  to</w:t>
            </w:r>
            <w:proofErr w:type="gramEnd"/>
            <w:r w:rsidRPr="00453FA1">
              <w:rPr>
                <w:rFonts w:ascii="Arial" w:hAnsi="Arial" w:cs="Arial"/>
                <w:sz w:val="20"/>
                <w:szCs w:val="20"/>
              </w:rPr>
              <w:t xml:space="preserve"> a maximum of 1.5 units, although most units are examined by a traditional three hour examination (full unit) or a two hour examination (half unit).</w:t>
            </w:r>
          </w:p>
          <w:p w:rsidR="0084661A" w:rsidRPr="00453FA1" w:rsidRDefault="0084661A" w:rsidP="0084661A">
            <w:pPr>
              <w:rPr>
                <w:rFonts w:ascii="Arial" w:hAnsi="Arial" w:cs="Arial"/>
                <w:sz w:val="20"/>
                <w:szCs w:val="20"/>
              </w:rPr>
            </w:pPr>
          </w:p>
          <w:p w:rsidR="0084661A" w:rsidRPr="00453FA1" w:rsidRDefault="0084661A" w:rsidP="0084661A">
            <w:pPr>
              <w:rPr>
                <w:rFonts w:ascii="Arial" w:hAnsi="Arial" w:cs="Arial"/>
                <w:sz w:val="20"/>
                <w:szCs w:val="20"/>
              </w:rPr>
            </w:pPr>
            <w:r w:rsidRPr="00453FA1">
              <w:rPr>
                <w:rFonts w:ascii="Arial" w:hAnsi="Arial" w:cs="Arial"/>
                <w:sz w:val="20"/>
                <w:szCs w:val="20"/>
              </w:rPr>
              <w:t xml:space="preserve">Dissertation/elective essay:  unless an exception is granted, students audit a taught course that best reflects their selected dissertation/elective essay topic.  This ensures adequate grounding in the fundamental principles and rules in the relevant area.  In addition, students are given individual direction from the course convenor in selecting a research topic and planning the thesis.  Further general assistance is provided by a programme of Dissertation Seminars, designed to assist students in preparing and producing their written assessment.  </w:t>
            </w:r>
          </w:p>
          <w:p w:rsidR="0084661A" w:rsidRPr="00453FA1" w:rsidRDefault="0084661A" w:rsidP="0084661A">
            <w:pPr>
              <w:rPr>
                <w:rFonts w:ascii="Arial" w:hAnsi="Arial" w:cs="Arial"/>
                <w:sz w:val="20"/>
                <w:szCs w:val="20"/>
              </w:rPr>
            </w:pPr>
          </w:p>
          <w:p w:rsidR="00453FA1" w:rsidRDefault="0084661A" w:rsidP="0084661A">
            <w:pPr>
              <w:rPr>
                <w:rFonts w:ascii="Arial" w:hAnsi="Arial" w:cs="Arial"/>
                <w:sz w:val="20"/>
                <w:szCs w:val="20"/>
              </w:rPr>
            </w:pPr>
            <w:r w:rsidRPr="00453FA1">
              <w:rPr>
                <w:rFonts w:ascii="Arial" w:hAnsi="Arial" w:cs="Arial"/>
                <w:sz w:val="20"/>
                <w:szCs w:val="20"/>
              </w:rPr>
              <w:t>Taught courses: teaching is primarily through seminars (capped at 30 students). Courses with enrolments of over 30 students are either taught through (</w:t>
            </w:r>
            <w:proofErr w:type="spellStart"/>
            <w:r w:rsidRPr="00453FA1">
              <w:rPr>
                <w:rFonts w:ascii="Arial" w:hAnsi="Arial" w:cs="Arial"/>
                <w:sz w:val="20"/>
                <w:szCs w:val="20"/>
              </w:rPr>
              <w:t>i</w:t>
            </w:r>
            <w:proofErr w:type="spellEnd"/>
            <w:r w:rsidRPr="00453FA1">
              <w:rPr>
                <w:rFonts w:ascii="Arial" w:hAnsi="Arial" w:cs="Arial"/>
                <w:sz w:val="20"/>
                <w:szCs w:val="20"/>
              </w:rPr>
              <w:t xml:space="preserve">) parallel seminars or (ii) lectures and supporting back-up classes. All students are invited to undertake formative assessments </w:t>
            </w:r>
          </w:p>
          <w:p w:rsidR="00453FA1" w:rsidRDefault="00453FA1" w:rsidP="0084661A">
            <w:pPr>
              <w:rPr>
                <w:rFonts w:ascii="Arial" w:hAnsi="Arial" w:cs="Arial"/>
                <w:sz w:val="20"/>
                <w:szCs w:val="20"/>
              </w:rPr>
            </w:pPr>
          </w:p>
          <w:p w:rsidR="00453FA1" w:rsidRDefault="00453FA1" w:rsidP="0084661A">
            <w:pPr>
              <w:rPr>
                <w:rFonts w:ascii="Arial" w:hAnsi="Arial" w:cs="Arial"/>
                <w:sz w:val="20"/>
                <w:szCs w:val="20"/>
              </w:rPr>
            </w:pPr>
          </w:p>
          <w:p w:rsidR="00453FA1" w:rsidRPr="00453FA1" w:rsidRDefault="0084661A" w:rsidP="0084661A">
            <w:pPr>
              <w:rPr>
                <w:rFonts w:ascii="Arial" w:hAnsi="Arial" w:cs="Arial"/>
                <w:sz w:val="20"/>
                <w:szCs w:val="20"/>
              </w:rPr>
            </w:pPr>
            <w:proofErr w:type="gramStart"/>
            <w:r w:rsidRPr="00453FA1">
              <w:rPr>
                <w:rFonts w:ascii="Arial" w:hAnsi="Arial" w:cs="Arial"/>
                <w:sz w:val="20"/>
                <w:szCs w:val="20"/>
              </w:rPr>
              <w:t>during</w:t>
            </w:r>
            <w:proofErr w:type="gramEnd"/>
            <w:r w:rsidRPr="00453FA1">
              <w:rPr>
                <w:rFonts w:ascii="Arial" w:hAnsi="Arial" w:cs="Arial"/>
                <w:sz w:val="20"/>
                <w:szCs w:val="20"/>
              </w:rPr>
              <w:t xml:space="preserve"> the year for all taught courses.</w:t>
            </w:r>
          </w:p>
          <w:p w:rsidR="0084661A" w:rsidRPr="00453FA1" w:rsidRDefault="0084661A" w:rsidP="0084661A">
            <w:pPr>
              <w:rPr>
                <w:rFonts w:ascii="Arial" w:hAnsi="Arial" w:cs="Arial"/>
                <w:sz w:val="20"/>
                <w:szCs w:val="20"/>
              </w:rPr>
            </w:pPr>
          </w:p>
          <w:p w:rsidR="0084661A" w:rsidRPr="00453FA1" w:rsidRDefault="0084661A" w:rsidP="0084661A">
            <w:pPr>
              <w:rPr>
                <w:rFonts w:ascii="Arial" w:hAnsi="Arial" w:cs="Arial"/>
                <w:sz w:val="20"/>
                <w:szCs w:val="20"/>
              </w:rPr>
            </w:pPr>
            <w:r w:rsidRPr="00453FA1">
              <w:rPr>
                <w:rFonts w:ascii="Arial" w:hAnsi="Arial" w:cs="Arial"/>
                <w:sz w:val="20"/>
                <w:szCs w:val="20"/>
              </w:rPr>
              <w:t xml:space="preserve">An annual programme of LLM Specialist Seminars, across a range of subjects, provides additional non-course-specific interaction for students on the programme. </w:t>
            </w:r>
          </w:p>
          <w:p w:rsidR="0084661A" w:rsidRPr="00453FA1" w:rsidRDefault="0084661A" w:rsidP="0084661A">
            <w:pPr>
              <w:rPr>
                <w:rFonts w:ascii="Arial" w:hAnsi="Arial" w:cs="Arial"/>
                <w:sz w:val="20"/>
                <w:szCs w:val="20"/>
              </w:rPr>
            </w:pPr>
          </w:p>
          <w:p w:rsidR="0084661A" w:rsidRPr="00453FA1" w:rsidRDefault="0084661A" w:rsidP="0084661A">
            <w:pPr>
              <w:rPr>
                <w:rFonts w:ascii="Arial" w:hAnsi="Arial" w:cs="Arial"/>
                <w:sz w:val="20"/>
                <w:szCs w:val="20"/>
              </w:rPr>
            </w:pPr>
            <w:r w:rsidRPr="00453FA1">
              <w:rPr>
                <w:rFonts w:ascii="Arial" w:hAnsi="Arial" w:cs="Arial"/>
                <w:sz w:val="20"/>
                <w:szCs w:val="20"/>
              </w:rPr>
              <w:t>Students are allocated an Academic Adviser who is responsible for monitoring their progress through regular meetings, and providing appropriate guidance. Additional support is available through the LLM Student Advisers (doctoral students in the department).</w:t>
            </w:r>
          </w:p>
          <w:p w:rsidR="0084661A" w:rsidRPr="00453FA1" w:rsidRDefault="0084661A" w:rsidP="0084661A">
            <w:pPr>
              <w:rPr>
                <w:rFonts w:ascii="Arial" w:hAnsi="Arial" w:cs="Arial"/>
                <w:sz w:val="20"/>
                <w:szCs w:val="20"/>
              </w:rPr>
            </w:pPr>
          </w:p>
        </w:tc>
      </w:tr>
    </w:tbl>
    <w:p w:rsidR="0084661A" w:rsidRPr="00453FA1" w:rsidRDefault="0084661A" w:rsidP="0084661A">
      <w:pPr>
        <w:rPr>
          <w:rFonts w:ascii="Arial" w:hAnsi="Arial" w:cs="Arial"/>
          <w:b/>
          <w:bCs/>
          <w:sz w:val="20"/>
          <w:szCs w:val="20"/>
        </w:rPr>
      </w:pPr>
    </w:p>
    <w:p w:rsidR="0084661A" w:rsidRPr="00453FA1" w:rsidRDefault="0084661A" w:rsidP="0084661A">
      <w:pPr>
        <w:rPr>
          <w:rFonts w:ascii="Arial" w:hAnsi="Arial" w:cs="Arial"/>
          <w:b/>
          <w:bCs/>
          <w:sz w:val="20"/>
          <w:szCs w:val="20"/>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22"/>
      </w:tblGrid>
      <w:tr w:rsidR="0084661A" w:rsidRPr="00453FA1" w:rsidTr="0084661A">
        <w:tc>
          <w:tcPr>
            <w:tcW w:w="8522" w:type="dxa"/>
          </w:tcPr>
          <w:p w:rsidR="0084661A" w:rsidRPr="00453FA1" w:rsidRDefault="0084661A" w:rsidP="0084661A">
            <w:pPr>
              <w:rPr>
                <w:rFonts w:ascii="Arial" w:hAnsi="Arial" w:cs="Arial"/>
                <w:b/>
                <w:bCs/>
                <w:sz w:val="20"/>
                <w:szCs w:val="20"/>
              </w:rPr>
            </w:pPr>
            <w:r w:rsidRPr="00453FA1">
              <w:rPr>
                <w:rFonts w:ascii="Arial" w:hAnsi="Arial" w:cs="Arial"/>
                <w:b/>
                <w:bCs/>
                <w:sz w:val="20"/>
                <w:szCs w:val="20"/>
              </w:rPr>
              <w:t>13. Programme structures and requirements, levels, modules and awards</w:t>
            </w:r>
          </w:p>
        </w:tc>
      </w:tr>
      <w:tr w:rsidR="0084661A" w:rsidRPr="00453FA1" w:rsidTr="0084661A">
        <w:tc>
          <w:tcPr>
            <w:tcW w:w="8522" w:type="dxa"/>
          </w:tcPr>
          <w:p w:rsidR="0084661A" w:rsidRPr="00453FA1" w:rsidRDefault="003A245A" w:rsidP="003A245A">
            <w:pPr>
              <w:pStyle w:val="NormalWeb"/>
              <w:spacing w:before="0" w:beforeAutospacing="0" w:after="0" w:afterAutospacing="0"/>
              <w:rPr>
                <w:rFonts w:ascii="Arial" w:hAnsi="Arial" w:cs="Arial"/>
                <w:sz w:val="20"/>
                <w:szCs w:val="20"/>
              </w:rPr>
            </w:pPr>
            <w:r w:rsidRPr="00453FA1">
              <w:rPr>
                <w:rFonts w:ascii="Arial" w:hAnsi="Arial" w:cs="Arial"/>
                <w:sz w:val="20"/>
                <w:szCs w:val="20"/>
              </w:rPr>
              <w:t xml:space="preserve">See </w:t>
            </w:r>
            <w:hyperlink r:id="rId6" w:history="1">
              <w:r w:rsidRPr="00453FA1">
                <w:rPr>
                  <w:rStyle w:val="Hipervnculo"/>
                  <w:rFonts w:ascii="Arial" w:hAnsi="Arial" w:cs="Arial"/>
                  <w:sz w:val="20"/>
                  <w:szCs w:val="20"/>
                </w:rPr>
                <w:t>LLM</w:t>
              </w:r>
            </w:hyperlink>
            <w:r w:rsidRPr="00453FA1">
              <w:rPr>
                <w:rFonts w:ascii="Arial" w:hAnsi="Arial" w:cs="Arial"/>
                <w:sz w:val="20"/>
                <w:szCs w:val="20"/>
              </w:rPr>
              <w:t xml:space="preserve"> programme regulations.</w:t>
            </w:r>
          </w:p>
        </w:tc>
      </w:tr>
    </w:tbl>
    <w:p w:rsidR="0084661A" w:rsidRPr="00453FA1" w:rsidRDefault="0084661A" w:rsidP="0084661A">
      <w:pPr>
        <w:rPr>
          <w:rFonts w:ascii="Arial" w:hAnsi="Arial" w:cs="Arial"/>
          <w:b/>
          <w:bCs/>
          <w:sz w:val="20"/>
          <w:szCs w:val="20"/>
        </w:rPr>
      </w:pPr>
    </w:p>
    <w:p w:rsidR="0084661A" w:rsidRPr="00453FA1" w:rsidRDefault="0084661A" w:rsidP="0084661A">
      <w:pPr>
        <w:rPr>
          <w:rFonts w:ascii="Arial" w:hAnsi="Arial" w:cs="Arial"/>
          <w:b/>
          <w:bCs/>
          <w:sz w:val="20"/>
          <w:szCs w:val="20"/>
        </w:rPr>
      </w:pPr>
    </w:p>
    <w:p w:rsidR="0084661A" w:rsidRPr="00453FA1" w:rsidRDefault="0084661A" w:rsidP="0084661A">
      <w:pPr>
        <w:outlineLvl w:val="0"/>
        <w:rPr>
          <w:rFonts w:ascii="Arial" w:hAnsi="Arial" w:cs="Arial"/>
          <w:b/>
          <w:bCs/>
          <w:sz w:val="20"/>
          <w:szCs w:val="20"/>
        </w:rPr>
      </w:pPr>
      <w:r w:rsidRPr="00453FA1">
        <w:rPr>
          <w:rFonts w:ascii="Arial" w:hAnsi="Arial" w:cs="Arial"/>
          <w:b/>
          <w:bCs/>
          <w:sz w:val="20"/>
          <w:szCs w:val="20"/>
        </w:rPr>
        <w:t>Additional information</w:t>
      </w:r>
    </w:p>
    <w:p w:rsidR="0084661A" w:rsidRPr="00453FA1" w:rsidRDefault="0084661A" w:rsidP="0084661A">
      <w:pPr>
        <w:rPr>
          <w:rFonts w:ascii="Arial" w:hAnsi="Arial" w:cs="Arial"/>
          <w:b/>
          <w:bCs/>
          <w:sz w:val="20"/>
          <w:szCs w:val="20"/>
        </w:rPr>
      </w:pPr>
    </w:p>
    <w:p w:rsidR="0084661A" w:rsidRPr="00453FA1" w:rsidRDefault="0084661A" w:rsidP="0084661A">
      <w:pPr>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22"/>
      </w:tblGrid>
      <w:tr w:rsidR="0084661A" w:rsidRPr="00453FA1" w:rsidTr="0084661A">
        <w:tc>
          <w:tcPr>
            <w:tcW w:w="8522" w:type="dxa"/>
          </w:tcPr>
          <w:p w:rsidR="0084661A" w:rsidRPr="00453FA1" w:rsidRDefault="0084661A" w:rsidP="0084661A">
            <w:pPr>
              <w:rPr>
                <w:rFonts w:ascii="Arial" w:hAnsi="Arial" w:cs="Arial"/>
                <w:b/>
                <w:bCs/>
                <w:sz w:val="20"/>
                <w:szCs w:val="20"/>
              </w:rPr>
            </w:pPr>
            <w:r w:rsidRPr="00453FA1">
              <w:rPr>
                <w:rFonts w:ascii="Arial" w:hAnsi="Arial" w:cs="Arial"/>
                <w:b/>
                <w:bCs/>
                <w:sz w:val="20"/>
                <w:szCs w:val="20"/>
              </w:rPr>
              <w:t>14. Criteria for admission to the programme</w:t>
            </w:r>
          </w:p>
        </w:tc>
      </w:tr>
      <w:tr w:rsidR="0084661A" w:rsidRPr="00453FA1" w:rsidTr="0084661A">
        <w:tc>
          <w:tcPr>
            <w:tcW w:w="8522" w:type="dxa"/>
          </w:tcPr>
          <w:p w:rsidR="00453FA1" w:rsidRDefault="00453FA1" w:rsidP="0084661A">
            <w:pPr>
              <w:pStyle w:val="Textoindependiente"/>
              <w:rPr>
                <w:szCs w:val="20"/>
              </w:rPr>
            </w:pPr>
          </w:p>
          <w:p w:rsidR="0084661A" w:rsidRPr="00453FA1" w:rsidRDefault="0084661A" w:rsidP="0084661A">
            <w:pPr>
              <w:pStyle w:val="Textoindependiente"/>
              <w:rPr>
                <w:szCs w:val="20"/>
              </w:rPr>
            </w:pPr>
            <w:r w:rsidRPr="00453FA1">
              <w:rPr>
                <w:szCs w:val="20"/>
              </w:rPr>
              <w:t xml:space="preserve">Admission is highly competitive. At a minimum, students should have a good degree in law (for example, an upper second class English LLB, or good results in the French </w:t>
            </w:r>
            <w:proofErr w:type="spellStart"/>
            <w:r w:rsidRPr="00453FA1">
              <w:rPr>
                <w:szCs w:val="20"/>
              </w:rPr>
              <w:t>Maîtrise</w:t>
            </w:r>
            <w:proofErr w:type="spellEnd"/>
            <w:r w:rsidRPr="00453FA1">
              <w:rPr>
                <w:szCs w:val="20"/>
              </w:rPr>
              <w:t xml:space="preserve"> en </w:t>
            </w:r>
            <w:proofErr w:type="spellStart"/>
            <w:r w:rsidRPr="00453FA1">
              <w:rPr>
                <w:szCs w:val="20"/>
              </w:rPr>
              <w:t>Droit</w:t>
            </w:r>
            <w:proofErr w:type="spellEnd"/>
            <w:r w:rsidRPr="00453FA1">
              <w:rPr>
                <w:szCs w:val="20"/>
              </w:rPr>
              <w:t xml:space="preserve">, or a high grade point average in the American JD), or a good degree in another discipline together with am appropriate professional qualification in law (such as the CPE). Precise entry requirements are tailored to the system of legal education in the countries from which students apply. Students without a law background need to demonstrate a high level of professional or academic experience in areas closely related to the subjects they wish to study. Typically more than half of LSE’s LLM students are from overseas. </w:t>
            </w:r>
          </w:p>
          <w:p w:rsidR="0084661A" w:rsidRDefault="0084661A" w:rsidP="0084661A">
            <w:pPr>
              <w:pStyle w:val="Textoindependiente"/>
              <w:rPr>
                <w:szCs w:val="20"/>
              </w:rPr>
            </w:pPr>
            <w:r w:rsidRPr="00453FA1">
              <w:rPr>
                <w:szCs w:val="20"/>
              </w:rPr>
              <w:t>In addition, the English language requirements are a minimum score of 7.5 in the British Council’s English Language Test; or 650 in the TOEFL (280 in the TOEFL computer based test); or grade A in the Cambridge First Certificate, of Grades A-B in the Cambridge Proficiency Certificate.</w:t>
            </w:r>
          </w:p>
          <w:p w:rsidR="00453FA1" w:rsidRPr="00453FA1" w:rsidRDefault="00453FA1" w:rsidP="0084661A">
            <w:pPr>
              <w:pStyle w:val="Textoindependiente"/>
              <w:rPr>
                <w:szCs w:val="20"/>
              </w:rPr>
            </w:pPr>
          </w:p>
        </w:tc>
      </w:tr>
    </w:tbl>
    <w:p w:rsidR="0084661A" w:rsidRPr="00453FA1" w:rsidRDefault="0084661A" w:rsidP="0084661A">
      <w:pPr>
        <w:rPr>
          <w:rFonts w:ascii="Arial" w:hAnsi="Arial" w:cs="Arial"/>
          <w:b/>
          <w:bCs/>
          <w:sz w:val="20"/>
          <w:szCs w:val="20"/>
        </w:rPr>
      </w:pPr>
    </w:p>
    <w:p w:rsidR="0084661A" w:rsidRPr="00453FA1" w:rsidRDefault="0084661A" w:rsidP="0084661A">
      <w:pPr>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22"/>
      </w:tblGrid>
      <w:tr w:rsidR="0084661A" w:rsidRPr="00453FA1" w:rsidTr="0084661A">
        <w:tc>
          <w:tcPr>
            <w:tcW w:w="8522" w:type="dxa"/>
          </w:tcPr>
          <w:p w:rsidR="0084661A" w:rsidRPr="00453FA1" w:rsidRDefault="0084661A" w:rsidP="0084661A">
            <w:pPr>
              <w:rPr>
                <w:rFonts w:ascii="Arial" w:hAnsi="Arial" w:cs="Arial"/>
                <w:b/>
                <w:bCs/>
                <w:sz w:val="20"/>
                <w:szCs w:val="20"/>
              </w:rPr>
            </w:pPr>
            <w:r w:rsidRPr="00453FA1">
              <w:rPr>
                <w:rFonts w:ascii="Arial" w:hAnsi="Arial" w:cs="Arial"/>
                <w:b/>
                <w:bCs/>
                <w:sz w:val="20"/>
                <w:szCs w:val="20"/>
              </w:rPr>
              <w:t>15. Indicators of quality</w:t>
            </w:r>
          </w:p>
        </w:tc>
      </w:tr>
      <w:tr w:rsidR="0084661A" w:rsidRPr="00453FA1" w:rsidTr="0084661A">
        <w:tc>
          <w:tcPr>
            <w:tcW w:w="8522" w:type="dxa"/>
          </w:tcPr>
          <w:p w:rsidR="00453FA1" w:rsidRDefault="00453FA1" w:rsidP="00453FA1">
            <w:pPr>
              <w:rPr>
                <w:rFonts w:ascii="Arial" w:hAnsi="Arial" w:cs="Arial"/>
                <w:sz w:val="20"/>
                <w:szCs w:val="20"/>
              </w:rPr>
            </w:pPr>
          </w:p>
          <w:p w:rsidR="0084661A" w:rsidRPr="00453FA1" w:rsidRDefault="0084661A" w:rsidP="00453FA1">
            <w:pPr>
              <w:numPr>
                <w:ilvl w:val="0"/>
                <w:numId w:val="21"/>
              </w:numPr>
              <w:rPr>
                <w:rFonts w:ascii="Arial" w:hAnsi="Arial" w:cs="Arial"/>
                <w:sz w:val="20"/>
                <w:szCs w:val="20"/>
              </w:rPr>
            </w:pPr>
            <w:r w:rsidRPr="00453FA1">
              <w:rPr>
                <w:rFonts w:ascii="Arial" w:hAnsi="Arial" w:cs="Arial"/>
                <w:sz w:val="20"/>
                <w:szCs w:val="20"/>
              </w:rPr>
              <w:t>Entrance requirements (please see details in no. 14)</w:t>
            </w:r>
            <w:r w:rsidR="00453FA1">
              <w:rPr>
                <w:rFonts w:ascii="Arial" w:hAnsi="Arial" w:cs="Arial"/>
                <w:sz w:val="20"/>
                <w:szCs w:val="20"/>
              </w:rPr>
              <w:t>;</w:t>
            </w:r>
          </w:p>
          <w:p w:rsidR="0084661A" w:rsidRPr="00453FA1" w:rsidRDefault="0084661A" w:rsidP="00453FA1">
            <w:pPr>
              <w:numPr>
                <w:ilvl w:val="0"/>
                <w:numId w:val="21"/>
              </w:numPr>
              <w:rPr>
                <w:rFonts w:ascii="Arial" w:hAnsi="Arial" w:cs="Arial"/>
                <w:sz w:val="20"/>
                <w:szCs w:val="20"/>
              </w:rPr>
            </w:pPr>
            <w:r w:rsidRPr="00453FA1">
              <w:rPr>
                <w:rFonts w:ascii="Arial" w:hAnsi="Arial" w:cs="Arial"/>
                <w:sz w:val="20"/>
                <w:szCs w:val="20"/>
              </w:rPr>
              <w:t>External examiners’ reports</w:t>
            </w:r>
            <w:r w:rsidR="00453FA1">
              <w:rPr>
                <w:rFonts w:ascii="Arial" w:hAnsi="Arial" w:cs="Arial"/>
                <w:sz w:val="20"/>
                <w:szCs w:val="20"/>
              </w:rPr>
              <w:t>;</w:t>
            </w:r>
          </w:p>
          <w:p w:rsidR="0084661A" w:rsidRPr="00453FA1" w:rsidRDefault="0084661A" w:rsidP="00453FA1">
            <w:pPr>
              <w:numPr>
                <w:ilvl w:val="0"/>
                <w:numId w:val="21"/>
              </w:numPr>
              <w:rPr>
                <w:rFonts w:ascii="Arial" w:hAnsi="Arial" w:cs="Arial"/>
                <w:sz w:val="20"/>
                <w:szCs w:val="20"/>
              </w:rPr>
            </w:pPr>
            <w:r w:rsidRPr="00453FA1">
              <w:rPr>
                <w:rFonts w:ascii="Arial" w:hAnsi="Arial" w:cs="Arial"/>
                <w:sz w:val="20"/>
                <w:szCs w:val="20"/>
              </w:rPr>
              <w:t>Research quality: In the 2008 Research Assessment Exercise, 75 per cent of the Law Department’s research was rated either world-class or of international renown. The Department was rated the best law department in the UK, both on grade point average an</w:t>
            </w:r>
            <w:r w:rsidR="00453FA1">
              <w:rPr>
                <w:rFonts w:ascii="Arial" w:hAnsi="Arial" w:cs="Arial"/>
                <w:sz w:val="20"/>
                <w:szCs w:val="20"/>
              </w:rPr>
              <w:t>d on proportion of 4* research;</w:t>
            </w:r>
          </w:p>
          <w:p w:rsidR="0084661A" w:rsidRPr="00453FA1" w:rsidRDefault="0084661A" w:rsidP="00453FA1">
            <w:pPr>
              <w:numPr>
                <w:ilvl w:val="0"/>
                <w:numId w:val="21"/>
              </w:numPr>
              <w:rPr>
                <w:rFonts w:ascii="Arial" w:hAnsi="Arial" w:cs="Arial"/>
                <w:sz w:val="20"/>
                <w:szCs w:val="20"/>
              </w:rPr>
            </w:pPr>
            <w:r w:rsidRPr="00453FA1">
              <w:rPr>
                <w:rFonts w:ascii="Arial" w:hAnsi="Arial" w:cs="Arial"/>
                <w:sz w:val="20"/>
                <w:szCs w:val="20"/>
              </w:rPr>
              <w:t xml:space="preserve">Authorship of key texts: members of the Department have written key texts in </w:t>
            </w:r>
            <w:r w:rsidR="00453FA1">
              <w:rPr>
                <w:rFonts w:ascii="Arial" w:hAnsi="Arial" w:cs="Arial"/>
                <w:sz w:val="20"/>
                <w:szCs w:val="20"/>
              </w:rPr>
              <w:t>many of the LLM subject areas;</w:t>
            </w:r>
          </w:p>
          <w:p w:rsidR="0084661A" w:rsidRPr="00453FA1" w:rsidRDefault="0084661A" w:rsidP="00453FA1">
            <w:pPr>
              <w:numPr>
                <w:ilvl w:val="0"/>
                <w:numId w:val="21"/>
              </w:numPr>
              <w:rPr>
                <w:rFonts w:ascii="Arial" w:hAnsi="Arial" w:cs="Arial"/>
                <w:sz w:val="20"/>
                <w:szCs w:val="20"/>
              </w:rPr>
            </w:pPr>
            <w:r w:rsidRPr="00453FA1">
              <w:rPr>
                <w:rFonts w:ascii="Arial" w:hAnsi="Arial" w:cs="Arial"/>
                <w:sz w:val="20"/>
                <w:szCs w:val="20"/>
              </w:rPr>
              <w:t xml:space="preserve">Members of the Department serve or have served on the editorial </w:t>
            </w:r>
            <w:r w:rsidR="00453FA1">
              <w:rPr>
                <w:rFonts w:ascii="Arial" w:hAnsi="Arial" w:cs="Arial"/>
                <w:sz w:val="20"/>
                <w:szCs w:val="20"/>
              </w:rPr>
              <w:t>boards of many leading journals;</w:t>
            </w:r>
          </w:p>
          <w:p w:rsidR="0084661A" w:rsidRPr="00453FA1" w:rsidRDefault="0084661A" w:rsidP="00453FA1">
            <w:pPr>
              <w:numPr>
                <w:ilvl w:val="0"/>
                <w:numId w:val="21"/>
              </w:numPr>
              <w:rPr>
                <w:rFonts w:ascii="Arial" w:hAnsi="Arial" w:cs="Arial"/>
                <w:sz w:val="20"/>
                <w:szCs w:val="20"/>
              </w:rPr>
            </w:pPr>
            <w:r w:rsidRPr="00453FA1">
              <w:rPr>
                <w:rFonts w:ascii="Arial" w:hAnsi="Arial" w:cs="Arial"/>
                <w:sz w:val="20"/>
                <w:szCs w:val="20"/>
              </w:rPr>
              <w:t xml:space="preserve">The </w:t>
            </w:r>
            <w:hyperlink r:id="rId7" w:history="1">
              <w:r w:rsidRPr="00453FA1">
                <w:rPr>
                  <w:rStyle w:val="Hipervnculo"/>
                  <w:rFonts w:ascii="Arial" w:hAnsi="Arial" w:cs="Arial"/>
                  <w:sz w:val="20"/>
                  <w:szCs w:val="20"/>
                </w:rPr>
                <w:t>LSE Careers Centre website</w:t>
              </w:r>
            </w:hyperlink>
            <w:r w:rsidRPr="00453FA1">
              <w:rPr>
                <w:rFonts w:ascii="Arial" w:hAnsi="Arial" w:cs="Arial"/>
                <w:sz w:val="20"/>
                <w:szCs w:val="20"/>
              </w:rPr>
              <w:t xml:space="preserve"> provides data on career destinations of LSE graduates.</w:t>
            </w:r>
          </w:p>
          <w:p w:rsidR="0084661A" w:rsidRPr="00453FA1" w:rsidRDefault="0084661A" w:rsidP="0084661A">
            <w:pPr>
              <w:rPr>
                <w:rFonts w:ascii="Arial" w:hAnsi="Arial" w:cs="Arial"/>
                <w:sz w:val="20"/>
                <w:szCs w:val="20"/>
              </w:rPr>
            </w:pPr>
          </w:p>
        </w:tc>
      </w:tr>
    </w:tbl>
    <w:p w:rsidR="0084661A" w:rsidRPr="00453FA1" w:rsidRDefault="0084661A" w:rsidP="0084661A">
      <w:pPr>
        <w:rPr>
          <w:rFonts w:ascii="Arial" w:hAnsi="Arial" w:cs="Arial"/>
          <w:b/>
          <w:bCs/>
          <w:sz w:val="20"/>
          <w:szCs w:val="20"/>
        </w:rPr>
      </w:pPr>
    </w:p>
    <w:p w:rsidR="0084661A" w:rsidRPr="00453FA1" w:rsidRDefault="0084661A" w:rsidP="0084661A">
      <w:pPr>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22"/>
      </w:tblGrid>
      <w:tr w:rsidR="0084661A" w:rsidRPr="00453FA1" w:rsidTr="0084661A">
        <w:tc>
          <w:tcPr>
            <w:tcW w:w="8522" w:type="dxa"/>
          </w:tcPr>
          <w:p w:rsidR="0084661A" w:rsidRPr="00453FA1" w:rsidRDefault="0084661A" w:rsidP="0084661A">
            <w:pPr>
              <w:rPr>
                <w:rFonts w:ascii="Arial" w:hAnsi="Arial" w:cs="Arial"/>
                <w:b/>
                <w:bCs/>
                <w:sz w:val="20"/>
                <w:szCs w:val="20"/>
              </w:rPr>
            </w:pPr>
            <w:r w:rsidRPr="00453FA1">
              <w:rPr>
                <w:rFonts w:ascii="Arial" w:hAnsi="Arial" w:cs="Arial"/>
                <w:b/>
                <w:bCs/>
                <w:sz w:val="20"/>
                <w:szCs w:val="20"/>
              </w:rPr>
              <w:t>16. Methods for evaluating and improving the quality and standard of teaching and learning</w:t>
            </w:r>
          </w:p>
        </w:tc>
      </w:tr>
      <w:tr w:rsidR="0084661A" w:rsidRPr="00453FA1" w:rsidTr="0084661A">
        <w:tc>
          <w:tcPr>
            <w:tcW w:w="8522" w:type="dxa"/>
          </w:tcPr>
          <w:p w:rsidR="00453FA1" w:rsidRDefault="00453FA1" w:rsidP="00453FA1">
            <w:pPr>
              <w:ind w:left="1080"/>
              <w:rPr>
                <w:rFonts w:ascii="Arial" w:hAnsi="Arial" w:cs="Arial"/>
                <w:sz w:val="20"/>
                <w:szCs w:val="20"/>
              </w:rPr>
            </w:pPr>
          </w:p>
          <w:p w:rsidR="0084661A" w:rsidRPr="00453FA1" w:rsidRDefault="0084661A" w:rsidP="00453FA1">
            <w:pPr>
              <w:numPr>
                <w:ilvl w:val="0"/>
                <w:numId w:val="21"/>
              </w:numPr>
              <w:rPr>
                <w:rFonts w:ascii="Arial" w:hAnsi="Arial" w:cs="Arial"/>
                <w:sz w:val="20"/>
                <w:szCs w:val="20"/>
              </w:rPr>
            </w:pPr>
            <w:r w:rsidRPr="00453FA1">
              <w:rPr>
                <w:rFonts w:ascii="Arial" w:hAnsi="Arial" w:cs="Arial"/>
                <w:sz w:val="20"/>
                <w:szCs w:val="20"/>
              </w:rPr>
              <w:t>Student assessment surveys for individual courses and for programme</w:t>
            </w:r>
            <w:r w:rsidR="00453FA1">
              <w:rPr>
                <w:rFonts w:ascii="Arial" w:hAnsi="Arial" w:cs="Arial"/>
                <w:sz w:val="20"/>
                <w:szCs w:val="20"/>
              </w:rPr>
              <w:t>;</w:t>
            </w:r>
          </w:p>
          <w:p w:rsidR="0084661A" w:rsidRDefault="0084661A" w:rsidP="00453FA1">
            <w:pPr>
              <w:numPr>
                <w:ilvl w:val="0"/>
                <w:numId w:val="21"/>
              </w:numPr>
              <w:rPr>
                <w:rFonts w:ascii="Arial" w:hAnsi="Arial" w:cs="Arial"/>
                <w:sz w:val="20"/>
                <w:szCs w:val="20"/>
              </w:rPr>
            </w:pPr>
            <w:r w:rsidRPr="00453FA1">
              <w:rPr>
                <w:rFonts w:ascii="Arial" w:hAnsi="Arial" w:cs="Arial"/>
                <w:sz w:val="20"/>
                <w:szCs w:val="20"/>
              </w:rPr>
              <w:t>External examiners’ reports</w:t>
            </w:r>
            <w:r w:rsidR="00453FA1">
              <w:rPr>
                <w:rFonts w:ascii="Arial" w:hAnsi="Arial" w:cs="Arial"/>
                <w:sz w:val="20"/>
                <w:szCs w:val="20"/>
              </w:rPr>
              <w:t>;</w:t>
            </w:r>
          </w:p>
          <w:p w:rsidR="00453FA1" w:rsidRDefault="00453FA1" w:rsidP="00453FA1">
            <w:pPr>
              <w:ind w:left="1080"/>
              <w:rPr>
                <w:rFonts w:ascii="Arial" w:hAnsi="Arial" w:cs="Arial"/>
                <w:sz w:val="20"/>
                <w:szCs w:val="20"/>
              </w:rPr>
            </w:pPr>
          </w:p>
          <w:p w:rsidR="00453FA1" w:rsidRPr="00453FA1" w:rsidRDefault="00453FA1" w:rsidP="00453FA1">
            <w:pPr>
              <w:ind w:left="1080"/>
              <w:rPr>
                <w:rFonts w:ascii="Arial" w:hAnsi="Arial" w:cs="Arial"/>
                <w:sz w:val="20"/>
                <w:szCs w:val="20"/>
              </w:rPr>
            </w:pPr>
          </w:p>
          <w:p w:rsidR="0084661A" w:rsidRPr="00453FA1" w:rsidRDefault="0084661A" w:rsidP="00453FA1">
            <w:pPr>
              <w:numPr>
                <w:ilvl w:val="0"/>
                <w:numId w:val="21"/>
              </w:numPr>
              <w:rPr>
                <w:rFonts w:ascii="Arial" w:hAnsi="Arial" w:cs="Arial"/>
                <w:sz w:val="20"/>
                <w:szCs w:val="20"/>
              </w:rPr>
            </w:pPr>
            <w:r w:rsidRPr="00453FA1">
              <w:rPr>
                <w:rFonts w:ascii="Arial" w:hAnsi="Arial" w:cs="Arial"/>
                <w:sz w:val="20"/>
                <w:szCs w:val="20"/>
              </w:rPr>
              <w:t>Complaints/ Consultation system—including Staff/Student Liaison Committee</w:t>
            </w:r>
            <w:r w:rsidR="00453FA1">
              <w:rPr>
                <w:rFonts w:ascii="Arial" w:hAnsi="Arial" w:cs="Arial"/>
                <w:sz w:val="20"/>
                <w:szCs w:val="20"/>
              </w:rPr>
              <w:t>;</w:t>
            </w:r>
          </w:p>
          <w:p w:rsidR="0084661A" w:rsidRPr="00453FA1" w:rsidRDefault="0084661A" w:rsidP="00453FA1">
            <w:pPr>
              <w:numPr>
                <w:ilvl w:val="0"/>
                <w:numId w:val="21"/>
              </w:numPr>
              <w:rPr>
                <w:rFonts w:ascii="Arial" w:hAnsi="Arial" w:cs="Arial"/>
                <w:sz w:val="20"/>
                <w:szCs w:val="20"/>
              </w:rPr>
            </w:pPr>
            <w:r w:rsidRPr="00453FA1">
              <w:rPr>
                <w:rFonts w:ascii="Arial" w:hAnsi="Arial" w:cs="Arial"/>
                <w:sz w:val="20"/>
                <w:szCs w:val="20"/>
              </w:rPr>
              <w:t>Law Department Teaching Committee periodic review</w:t>
            </w:r>
            <w:r w:rsidR="00453FA1">
              <w:rPr>
                <w:rFonts w:ascii="Arial" w:hAnsi="Arial" w:cs="Arial"/>
                <w:sz w:val="20"/>
                <w:szCs w:val="20"/>
              </w:rPr>
              <w:t>;</w:t>
            </w:r>
          </w:p>
          <w:p w:rsidR="0084661A" w:rsidRPr="00453FA1" w:rsidRDefault="0084661A" w:rsidP="00453FA1">
            <w:pPr>
              <w:numPr>
                <w:ilvl w:val="0"/>
                <w:numId w:val="21"/>
              </w:numPr>
              <w:rPr>
                <w:rFonts w:ascii="Arial" w:hAnsi="Arial" w:cs="Arial"/>
                <w:sz w:val="20"/>
                <w:szCs w:val="20"/>
              </w:rPr>
            </w:pPr>
            <w:r w:rsidRPr="00453FA1">
              <w:rPr>
                <w:rFonts w:ascii="Arial" w:hAnsi="Arial" w:cs="Arial"/>
                <w:sz w:val="20"/>
                <w:szCs w:val="20"/>
              </w:rPr>
              <w:t>Review/promotion process for staff includes an assessment of teaching</w:t>
            </w:r>
            <w:r w:rsidR="00453FA1">
              <w:rPr>
                <w:rFonts w:ascii="Arial" w:hAnsi="Arial" w:cs="Arial"/>
                <w:sz w:val="20"/>
                <w:szCs w:val="20"/>
              </w:rPr>
              <w:t>;</w:t>
            </w:r>
          </w:p>
          <w:p w:rsidR="0084661A" w:rsidRPr="00453FA1" w:rsidRDefault="0084661A" w:rsidP="00453FA1">
            <w:pPr>
              <w:numPr>
                <w:ilvl w:val="0"/>
                <w:numId w:val="21"/>
              </w:numPr>
              <w:rPr>
                <w:rFonts w:ascii="Arial" w:hAnsi="Arial" w:cs="Arial"/>
                <w:sz w:val="20"/>
                <w:szCs w:val="20"/>
              </w:rPr>
            </w:pPr>
            <w:r w:rsidRPr="00453FA1">
              <w:rPr>
                <w:rFonts w:ascii="Arial" w:hAnsi="Arial" w:cs="Arial"/>
                <w:sz w:val="20"/>
                <w:szCs w:val="20"/>
              </w:rPr>
              <w:t>The Teaching and Learning Centre is available to monitor and observe teaching and offers constructive advice on how to improve the st</w:t>
            </w:r>
            <w:r w:rsidR="00453FA1">
              <w:rPr>
                <w:rFonts w:ascii="Arial" w:hAnsi="Arial" w:cs="Arial"/>
                <w:sz w:val="20"/>
                <w:szCs w:val="20"/>
              </w:rPr>
              <w:t>andard of teaching and quality;</w:t>
            </w:r>
          </w:p>
          <w:p w:rsidR="0084661A" w:rsidRPr="00453FA1" w:rsidRDefault="0084661A" w:rsidP="00453FA1">
            <w:pPr>
              <w:numPr>
                <w:ilvl w:val="0"/>
                <w:numId w:val="21"/>
              </w:numPr>
              <w:rPr>
                <w:rFonts w:ascii="Arial" w:hAnsi="Arial" w:cs="Arial"/>
                <w:sz w:val="20"/>
                <w:szCs w:val="20"/>
              </w:rPr>
            </w:pPr>
            <w:r w:rsidRPr="00453FA1">
              <w:rPr>
                <w:rFonts w:ascii="Arial" w:hAnsi="Arial" w:cs="Arial"/>
                <w:sz w:val="20"/>
                <w:szCs w:val="20"/>
              </w:rPr>
              <w:t>The Teaching Learning and Assessment Committee which regulates all aspects of teaching quality;</w:t>
            </w:r>
          </w:p>
          <w:p w:rsidR="0084661A" w:rsidRPr="00453FA1" w:rsidRDefault="0084661A" w:rsidP="00453FA1">
            <w:pPr>
              <w:numPr>
                <w:ilvl w:val="0"/>
                <w:numId w:val="21"/>
              </w:numPr>
              <w:rPr>
                <w:rFonts w:ascii="Arial" w:hAnsi="Arial" w:cs="Arial"/>
                <w:sz w:val="20"/>
                <w:szCs w:val="20"/>
              </w:rPr>
            </w:pPr>
            <w:r w:rsidRPr="00453FA1">
              <w:rPr>
                <w:rFonts w:ascii="Arial" w:hAnsi="Arial" w:cs="Arial"/>
                <w:sz w:val="20"/>
                <w:szCs w:val="20"/>
              </w:rPr>
              <w:t>Departmental TL</w:t>
            </w:r>
            <w:r w:rsidR="00453FA1">
              <w:rPr>
                <w:rFonts w:ascii="Arial" w:hAnsi="Arial" w:cs="Arial"/>
                <w:sz w:val="20"/>
                <w:szCs w:val="20"/>
              </w:rPr>
              <w:t>AC review once every five years;</w:t>
            </w:r>
          </w:p>
          <w:p w:rsidR="0084661A" w:rsidRPr="00453FA1" w:rsidRDefault="0084661A" w:rsidP="00453FA1">
            <w:pPr>
              <w:numPr>
                <w:ilvl w:val="0"/>
                <w:numId w:val="21"/>
              </w:numPr>
              <w:rPr>
                <w:rFonts w:ascii="Arial" w:hAnsi="Arial" w:cs="Arial"/>
                <w:sz w:val="20"/>
                <w:szCs w:val="20"/>
              </w:rPr>
            </w:pPr>
            <w:r w:rsidRPr="00453FA1">
              <w:rPr>
                <w:rFonts w:ascii="Arial" w:hAnsi="Arial" w:cs="Arial"/>
                <w:sz w:val="20"/>
                <w:szCs w:val="20"/>
              </w:rPr>
              <w:t>The Graduate Studies Sub-Committee which oversees all graduate programmes and ensures that significant changes to programmes and courses pass through a sequence of formal stages, so that curricular changes are appropriate and compatible with other developments.</w:t>
            </w:r>
          </w:p>
          <w:p w:rsidR="0084661A" w:rsidRPr="00453FA1" w:rsidRDefault="0084661A" w:rsidP="0084661A">
            <w:pPr>
              <w:autoSpaceDE w:val="0"/>
              <w:autoSpaceDN w:val="0"/>
              <w:adjustRightInd w:val="0"/>
              <w:ind w:left="360"/>
              <w:rPr>
                <w:rFonts w:ascii="Arial" w:hAnsi="Arial" w:cs="Arial"/>
                <w:color w:val="000000"/>
                <w:sz w:val="20"/>
                <w:szCs w:val="20"/>
              </w:rPr>
            </w:pPr>
          </w:p>
        </w:tc>
      </w:tr>
    </w:tbl>
    <w:p w:rsidR="0084661A" w:rsidRPr="00453FA1" w:rsidRDefault="0084661A" w:rsidP="0084661A">
      <w:pPr>
        <w:rPr>
          <w:rFonts w:ascii="Arial" w:hAnsi="Arial" w:cs="Arial"/>
          <w:sz w:val="20"/>
          <w:szCs w:val="20"/>
        </w:rPr>
      </w:pPr>
    </w:p>
    <w:p w:rsidR="0084661A" w:rsidRPr="00453FA1" w:rsidRDefault="0084661A" w:rsidP="0084661A">
      <w:pPr>
        <w:rPr>
          <w:rFonts w:ascii="Arial" w:hAnsi="Arial" w:cs="Arial"/>
          <w:sz w:val="20"/>
          <w:szCs w:val="20"/>
        </w:rPr>
      </w:pPr>
    </w:p>
    <w:p w:rsidR="001B0E3A" w:rsidRPr="00453FA1" w:rsidRDefault="001B0E3A">
      <w:pPr>
        <w:rPr>
          <w:rFonts w:ascii="Arial" w:hAnsi="Arial" w:cs="Arial"/>
          <w:sz w:val="20"/>
          <w:szCs w:val="20"/>
        </w:rPr>
      </w:pPr>
    </w:p>
    <w:sectPr w:rsidR="001B0E3A" w:rsidRPr="00453FA1" w:rsidSect="0069346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29ABC6E"/>
    <w:lvl w:ilvl="0">
      <w:numFmt w:val="decimal"/>
      <w:lvlText w:val="*"/>
      <w:lvlJc w:val="left"/>
    </w:lvl>
  </w:abstractNum>
  <w:abstractNum w:abstractNumId="1">
    <w:nsid w:val="001C60A8"/>
    <w:multiLevelType w:val="hybridMultilevel"/>
    <w:tmpl w:val="C7A0CF84"/>
    <w:lvl w:ilvl="0" w:tplc="E4CABA64">
      <w:start w:val="1"/>
      <w:numFmt w:val="bullet"/>
      <w:lvlText w:val=""/>
      <w:lvlJc w:val="left"/>
      <w:pPr>
        <w:tabs>
          <w:tab w:val="num" w:pos="360"/>
        </w:tabs>
        <w:ind w:left="57" w:hanging="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8B2F25"/>
    <w:multiLevelType w:val="hybridMultilevel"/>
    <w:tmpl w:val="9E4C5848"/>
    <w:lvl w:ilvl="0" w:tplc="E4CABA64">
      <w:start w:val="1"/>
      <w:numFmt w:val="bullet"/>
      <w:lvlText w:val=""/>
      <w:lvlJc w:val="left"/>
      <w:pPr>
        <w:tabs>
          <w:tab w:val="num" w:pos="360"/>
        </w:tabs>
        <w:ind w:left="57" w:hanging="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C3A2271"/>
    <w:multiLevelType w:val="singleLevel"/>
    <w:tmpl w:val="47C81EAC"/>
    <w:lvl w:ilvl="0">
      <w:start w:val="1"/>
      <w:numFmt w:val="bullet"/>
      <w:lvlText w:val=""/>
      <w:lvlJc w:val="left"/>
      <w:pPr>
        <w:tabs>
          <w:tab w:val="num" w:pos="360"/>
        </w:tabs>
        <w:ind w:left="360" w:hanging="360"/>
      </w:pPr>
      <w:rPr>
        <w:rFonts w:ascii="Wingdings" w:hAnsi="Wingdings" w:hint="default"/>
      </w:rPr>
    </w:lvl>
  </w:abstractNum>
  <w:abstractNum w:abstractNumId="4">
    <w:nsid w:val="253C24D6"/>
    <w:multiLevelType w:val="hybridMultilevel"/>
    <w:tmpl w:val="BFFC9A9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30D04A09"/>
    <w:multiLevelType w:val="hybridMultilevel"/>
    <w:tmpl w:val="C700C9EA"/>
    <w:lvl w:ilvl="0" w:tplc="0409000F">
      <w:start w:val="1"/>
      <w:numFmt w:val="decimal"/>
      <w:lvlText w:val="%1."/>
      <w:lvlJc w:val="left"/>
      <w:pPr>
        <w:tabs>
          <w:tab w:val="num" w:pos="720"/>
        </w:tabs>
        <w:ind w:left="720" w:hanging="360"/>
      </w:p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3E31B5"/>
    <w:multiLevelType w:val="singleLevel"/>
    <w:tmpl w:val="6282A1B2"/>
    <w:lvl w:ilvl="0">
      <w:start w:val="1"/>
      <w:numFmt w:val="decimal"/>
      <w:lvlText w:val="%1."/>
      <w:lvlJc w:val="left"/>
      <w:pPr>
        <w:tabs>
          <w:tab w:val="num" w:pos="420"/>
        </w:tabs>
        <w:ind w:left="420" w:hanging="420"/>
      </w:pPr>
      <w:rPr>
        <w:rFonts w:hint="default"/>
      </w:rPr>
    </w:lvl>
  </w:abstractNum>
  <w:abstractNum w:abstractNumId="7">
    <w:nsid w:val="46B02363"/>
    <w:multiLevelType w:val="hybridMultilevel"/>
    <w:tmpl w:val="C7A0CF84"/>
    <w:lvl w:ilvl="0" w:tplc="B1BE5EB0">
      <w:start w:val="1"/>
      <w:numFmt w:val="bullet"/>
      <w:lvlText w:val=""/>
      <w:lvlJc w:val="left"/>
      <w:pPr>
        <w:tabs>
          <w:tab w:val="num" w:pos="360"/>
        </w:tabs>
        <w:ind w:left="57" w:hanging="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9DF2C21"/>
    <w:multiLevelType w:val="hybridMultilevel"/>
    <w:tmpl w:val="D8B050A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B925AC1"/>
    <w:multiLevelType w:val="hybridMultilevel"/>
    <w:tmpl w:val="F3E08D7A"/>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0">
    <w:nsid w:val="4CD137F8"/>
    <w:multiLevelType w:val="hybridMultilevel"/>
    <w:tmpl w:val="500AFE0E"/>
    <w:lvl w:ilvl="0" w:tplc="6DC6B49C">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51475525"/>
    <w:multiLevelType w:val="hybridMultilevel"/>
    <w:tmpl w:val="77C0663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22037D2"/>
    <w:multiLevelType w:val="hybridMultilevel"/>
    <w:tmpl w:val="714E2D36"/>
    <w:lvl w:ilvl="0" w:tplc="5AC80284">
      <w:start w:val="1"/>
      <w:numFmt w:val="bullet"/>
      <w:lvlText w:val=""/>
      <w:lvlJc w:val="left"/>
      <w:pPr>
        <w:tabs>
          <w:tab w:val="num" w:pos="360"/>
        </w:tabs>
        <w:ind w:left="57" w:hanging="57"/>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64F42E8F"/>
    <w:multiLevelType w:val="singleLevel"/>
    <w:tmpl w:val="0809000F"/>
    <w:lvl w:ilvl="0">
      <w:start w:val="4"/>
      <w:numFmt w:val="decimal"/>
      <w:lvlText w:val="%1."/>
      <w:lvlJc w:val="left"/>
      <w:pPr>
        <w:tabs>
          <w:tab w:val="num" w:pos="360"/>
        </w:tabs>
        <w:ind w:left="360" w:hanging="360"/>
      </w:pPr>
      <w:rPr>
        <w:rFonts w:hint="default"/>
      </w:rPr>
    </w:lvl>
  </w:abstractNum>
  <w:abstractNum w:abstractNumId="14">
    <w:nsid w:val="653A344A"/>
    <w:multiLevelType w:val="hybridMultilevel"/>
    <w:tmpl w:val="353E11B0"/>
    <w:lvl w:ilvl="0" w:tplc="F7F28D9C">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5456448"/>
    <w:multiLevelType w:val="hybridMultilevel"/>
    <w:tmpl w:val="C896C1BA"/>
    <w:lvl w:ilvl="0" w:tplc="6B10DFDE">
      <w:start w:val="1"/>
      <w:numFmt w:val="bullet"/>
      <w:lvlText w:val=""/>
      <w:lvlJc w:val="left"/>
      <w:pPr>
        <w:tabs>
          <w:tab w:val="num" w:pos="360"/>
        </w:tabs>
        <w:ind w:left="57" w:hanging="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6906B82"/>
    <w:multiLevelType w:val="hybridMultilevel"/>
    <w:tmpl w:val="111E30F6"/>
    <w:lvl w:ilvl="0" w:tplc="04090019">
      <w:start w:val="1"/>
      <w:numFmt w:val="lowerLetter"/>
      <w:lvlText w:val="%1."/>
      <w:lvlJc w:val="left"/>
      <w:pPr>
        <w:tabs>
          <w:tab w:val="num" w:pos="720"/>
        </w:tabs>
        <w:ind w:left="720" w:hanging="36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8723DBE"/>
    <w:multiLevelType w:val="singleLevel"/>
    <w:tmpl w:val="D3D8971A"/>
    <w:lvl w:ilvl="0">
      <w:start w:val="1"/>
      <w:numFmt w:val="lowerLetter"/>
      <w:lvlText w:val="(%1)"/>
      <w:lvlJc w:val="left"/>
      <w:pPr>
        <w:tabs>
          <w:tab w:val="num" w:pos="1095"/>
        </w:tabs>
        <w:ind w:left="1095" w:hanging="375"/>
      </w:pPr>
      <w:rPr>
        <w:rFonts w:hint="default"/>
      </w:rPr>
    </w:lvl>
  </w:abstractNum>
  <w:abstractNum w:abstractNumId="18">
    <w:nsid w:val="690819A7"/>
    <w:multiLevelType w:val="hybridMultilevel"/>
    <w:tmpl w:val="A282E81A"/>
    <w:lvl w:ilvl="0" w:tplc="0C0A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71163AEE"/>
    <w:multiLevelType w:val="hybridMultilevel"/>
    <w:tmpl w:val="E5E66444"/>
    <w:lvl w:ilvl="0" w:tplc="B1BE5EB0">
      <w:start w:val="1"/>
      <w:numFmt w:val="bullet"/>
      <w:lvlText w:val=""/>
      <w:lvlJc w:val="left"/>
      <w:pPr>
        <w:tabs>
          <w:tab w:val="num" w:pos="360"/>
        </w:tabs>
        <w:ind w:left="57" w:hanging="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3A66EBB"/>
    <w:multiLevelType w:val="hybridMultilevel"/>
    <w:tmpl w:val="882A382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5"/>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numFmt w:val="bullet"/>
        <w:lvlText w:val=""/>
        <w:legacy w:legacy="1" w:legacySpace="0" w:legacyIndent="0"/>
        <w:lvlJc w:val="left"/>
        <w:rPr>
          <w:rFonts w:ascii="Symbol" w:hAnsi="Symbol" w:hint="default"/>
        </w:rPr>
      </w:lvl>
    </w:lvlOverride>
  </w:num>
  <w:num w:numId="4">
    <w:abstractNumId w:val="17"/>
  </w:num>
  <w:num w:numId="5">
    <w:abstractNumId w:val="3"/>
  </w:num>
  <w:num w:numId="6">
    <w:abstractNumId w:val="6"/>
  </w:num>
  <w:num w:numId="7">
    <w:abstractNumId w:val="13"/>
  </w:num>
  <w:num w:numId="8">
    <w:abstractNumId w:val="10"/>
  </w:num>
  <w:num w:numId="9">
    <w:abstractNumId w:val="14"/>
  </w:num>
  <w:num w:numId="10">
    <w:abstractNumId w:val="8"/>
  </w:num>
  <w:num w:numId="11">
    <w:abstractNumId w:val="16"/>
  </w:num>
  <w:num w:numId="12">
    <w:abstractNumId w:val="5"/>
  </w:num>
  <w:num w:numId="13">
    <w:abstractNumId w:val="2"/>
  </w:num>
  <w:num w:numId="14">
    <w:abstractNumId w:val="11"/>
  </w:num>
  <w:num w:numId="15">
    <w:abstractNumId w:val="20"/>
  </w:num>
  <w:num w:numId="16">
    <w:abstractNumId w:val="4"/>
  </w:num>
  <w:num w:numId="17">
    <w:abstractNumId w:val="1"/>
  </w:num>
  <w:num w:numId="18">
    <w:abstractNumId w:val="7"/>
  </w:num>
  <w:num w:numId="19">
    <w:abstractNumId w:val="19"/>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noPunctuationKerning/>
  <w:characterSpacingControl w:val="doNotCompress"/>
  <w:compat/>
  <w:rsids>
    <w:rsidRoot w:val="00965ED5"/>
    <w:rsid w:val="00061174"/>
    <w:rsid w:val="001B0E3A"/>
    <w:rsid w:val="003A245A"/>
    <w:rsid w:val="00453FA1"/>
    <w:rsid w:val="004E7797"/>
    <w:rsid w:val="005C465F"/>
    <w:rsid w:val="005F7538"/>
    <w:rsid w:val="006764CF"/>
    <w:rsid w:val="00693467"/>
    <w:rsid w:val="00816073"/>
    <w:rsid w:val="0084661A"/>
    <w:rsid w:val="00965ED5"/>
    <w:rsid w:val="009E0A09"/>
    <w:rsid w:val="00BD06FE"/>
    <w:rsid w:val="00D97886"/>
    <w:rsid w:val="00DA4D04"/>
    <w:rsid w:val="00EE3AA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3467"/>
    <w:rPr>
      <w:sz w:val="24"/>
      <w:szCs w:val="24"/>
      <w:lang w:eastAsia="en-US"/>
    </w:rPr>
  </w:style>
  <w:style w:type="paragraph" w:styleId="Ttulo3">
    <w:name w:val="heading 3"/>
    <w:basedOn w:val="Normal"/>
    <w:qFormat/>
    <w:rsid w:val="00693467"/>
    <w:pPr>
      <w:spacing w:before="100" w:beforeAutospacing="1" w:after="100" w:afterAutospacing="1"/>
      <w:outlineLvl w:val="2"/>
    </w:pPr>
    <w:rPr>
      <w:rFonts w:ascii="Arial Unicode MS" w:eastAsia="Arial Unicode MS" w:hAnsi="Arial Unicode MS" w:cs="Arial Unicode MS"/>
      <w:b/>
      <w:bCs/>
      <w:sz w:val="27"/>
      <w:szCs w:val="27"/>
    </w:rPr>
  </w:style>
  <w:style w:type="paragraph" w:styleId="Ttulo4">
    <w:name w:val="heading 4"/>
    <w:basedOn w:val="Normal"/>
    <w:qFormat/>
    <w:rsid w:val="00693467"/>
    <w:pPr>
      <w:spacing w:before="100" w:beforeAutospacing="1" w:after="100" w:afterAutospacing="1"/>
      <w:outlineLvl w:val="3"/>
    </w:pPr>
    <w:rPr>
      <w:rFonts w:ascii="Arial Unicode MS" w:eastAsia="Arial Unicode MS" w:hAnsi="Arial Unicode MS" w:cs="Arial Unicode MS"/>
      <w:b/>
      <w:bCs/>
    </w:rPr>
  </w:style>
  <w:style w:type="paragraph" w:styleId="Ttulo8">
    <w:name w:val="heading 8"/>
    <w:basedOn w:val="Normal"/>
    <w:next w:val="Normal"/>
    <w:qFormat/>
    <w:rsid w:val="00693467"/>
    <w:pPr>
      <w:keepNext/>
      <w:widowControl w:val="0"/>
      <w:outlineLvl w:val="7"/>
    </w:pPr>
    <w:rPr>
      <w:rFonts w:ascii="Arial" w:hAnsi="Arial"/>
      <w:i/>
      <w:snapToGrid w:val="0"/>
      <w:sz w:val="16"/>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693467"/>
    <w:rPr>
      <w:rFonts w:ascii="Arial" w:hAnsi="Arial" w:cs="Arial"/>
      <w:sz w:val="20"/>
    </w:rPr>
  </w:style>
  <w:style w:type="paragraph" w:styleId="NormalWeb">
    <w:name w:val="Normal (Web)"/>
    <w:basedOn w:val="Normal"/>
    <w:rsid w:val="00693467"/>
    <w:pPr>
      <w:spacing w:before="100" w:beforeAutospacing="1" w:after="100" w:afterAutospacing="1"/>
    </w:pPr>
    <w:rPr>
      <w:rFonts w:ascii="Arial Unicode MS" w:eastAsia="Arial Unicode MS" w:hAnsi="Arial Unicode MS" w:cs="Arial Unicode MS"/>
    </w:rPr>
  </w:style>
  <w:style w:type="character" w:styleId="Hipervnculo">
    <w:name w:val="Hyperlink"/>
    <w:rsid w:val="00693467"/>
    <w:rPr>
      <w:color w:val="0000FF"/>
      <w:u w:val="single"/>
    </w:rPr>
  </w:style>
  <w:style w:type="paragraph" w:styleId="Textoindependiente2">
    <w:name w:val="Body Text 2"/>
    <w:basedOn w:val="Normal"/>
    <w:rsid w:val="00693467"/>
    <w:pPr>
      <w:widowControl w:val="0"/>
    </w:pPr>
    <w:rPr>
      <w:rFonts w:ascii="Arial" w:hAnsi="Arial"/>
      <w:snapToGrid w:val="0"/>
      <w:sz w:val="16"/>
      <w:szCs w:val="20"/>
    </w:rPr>
  </w:style>
  <w:style w:type="character" w:customStyle="1" w:styleId="notes">
    <w:name w:val="notes"/>
    <w:basedOn w:val="Fuentedeprrafopredeter"/>
    <w:rsid w:val="00693467"/>
  </w:style>
  <w:style w:type="character" w:customStyle="1" w:styleId="emailstyle18">
    <w:name w:val="emailstyle18"/>
    <w:semiHidden/>
    <w:rsid w:val="00816073"/>
    <w:rPr>
      <w:rFonts w:ascii="Arial" w:hAnsi="Arial" w:cs="Arial" w:hint="default"/>
      <w:b w:val="0"/>
      <w:bCs w:val="0"/>
      <w:i w:val="0"/>
      <w:iCs w:val="0"/>
      <w:strike w:val="0"/>
      <w:dstrike w:val="0"/>
      <w:color w:val="auto"/>
      <w:sz w:val="20"/>
      <w:szCs w:val="20"/>
      <w:u w:val="none"/>
      <w:effect w:val="none"/>
    </w:rPr>
  </w:style>
  <w:style w:type="paragraph" w:styleId="Textodeglobo">
    <w:name w:val="Balloon Text"/>
    <w:basedOn w:val="Normal"/>
    <w:link w:val="TextodegloboCar"/>
    <w:rsid w:val="006764CF"/>
    <w:rPr>
      <w:rFonts w:ascii="Tahoma" w:hAnsi="Tahoma" w:cs="Tahoma"/>
      <w:sz w:val="16"/>
      <w:szCs w:val="16"/>
    </w:rPr>
  </w:style>
  <w:style w:type="character" w:customStyle="1" w:styleId="TextodegloboCar">
    <w:name w:val="Texto de globo Car"/>
    <w:basedOn w:val="Fuentedeprrafopredeter"/>
    <w:link w:val="Textodeglobo"/>
    <w:rsid w:val="006764CF"/>
    <w:rPr>
      <w:rFonts w:ascii="Tahoma" w:hAnsi="Tahoma" w:cs="Tahoma"/>
      <w:sz w:val="16"/>
      <w:szCs w:val="16"/>
      <w:lang w:eastAsia="en-US"/>
    </w:rPr>
  </w:style>
  <w:style w:type="paragraph" w:styleId="Prrafodelista">
    <w:name w:val="List Paragraph"/>
    <w:basedOn w:val="Normal"/>
    <w:uiPriority w:val="34"/>
    <w:qFormat/>
    <w:rsid w:val="00EE3A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3">
    <w:name w:val="heading 3"/>
    <w:basedOn w:val="Normal"/>
    <w:qFormat/>
    <w:pPr>
      <w:spacing w:before="100" w:beforeAutospacing="1" w:after="100" w:afterAutospacing="1"/>
      <w:outlineLvl w:val="2"/>
    </w:pPr>
    <w:rPr>
      <w:rFonts w:ascii="Arial Unicode MS" w:eastAsia="Arial Unicode MS" w:hAnsi="Arial Unicode MS" w:cs="Arial Unicode MS"/>
      <w:b/>
      <w:bCs/>
      <w:sz w:val="27"/>
      <w:szCs w:val="27"/>
    </w:rPr>
  </w:style>
  <w:style w:type="paragraph" w:styleId="Heading4">
    <w:name w:val="heading 4"/>
    <w:basedOn w:val="Normal"/>
    <w:qFormat/>
    <w:pPr>
      <w:spacing w:before="100" w:beforeAutospacing="1" w:after="100" w:afterAutospacing="1"/>
      <w:outlineLvl w:val="3"/>
    </w:pPr>
    <w:rPr>
      <w:rFonts w:ascii="Arial Unicode MS" w:eastAsia="Arial Unicode MS" w:hAnsi="Arial Unicode MS" w:cs="Arial Unicode MS"/>
      <w:b/>
      <w:bCs/>
    </w:rPr>
  </w:style>
  <w:style w:type="paragraph" w:styleId="Heading8">
    <w:name w:val="heading 8"/>
    <w:basedOn w:val="Normal"/>
    <w:next w:val="Normal"/>
    <w:qFormat/>
    <w:pPr>
      <w:keepNext/>
      <w:widowControl w:val="0"/>
      <w:outlineLvl w:val="7"/>
    </w:pPr>
    <w:rPr>
      <w:rFonts w:ascii="Arial" w:hAnsi="Arial"/>
      <w:i/>
      <w:snapToGrid w:val="0"/>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Hyperlink">
    <w:name w:val="Hyperlink"/>
    <w:rPr>
      <w:color w:val="0000FF"/>
      <w:u w:val="single"/>
    </w:rPr>
  </w:style>
  <w:style w:type="paragraph" w:styleId="BodyText2">
    <w:name w:val="Body Text 2"/>
    <w:basedOn w:val="Normal"/>
    <w:pPr>
      <w:widowControl w:val="0"/>
    </w:pPr>
    <w:rPr>
      <w:rFonts w:ascii="Arial" w:hAnsi="Arial"/>
      <w:snapToGrid w:val="0"/>
      <w:sz w:val="16"/>
      <w:szCs w:val="20"/>
    </w:rPr>
  </w:style>
  <w:style w:type="character" w:customStyle="1" w:styleId="notes">
    <w:name w:val="notes"/>
    <w:basedOn w:val="DefaultParagraphFont"/>
  </w:style>
  <w:style w:type="character" w:customStyle="1" w:styleId="emailstyle18">
    <w:name w:val="emailstyle18"/>
    <w:semiHidden/>
    <w:rsid w:val="00816073"/>
    <w:rPr>
      <w:rFonts w:ascii="Arial" w:hAnsi="Arial" w:cs="Arial" w:hint="default"/>
      <w:b w:val="0"/>
      <w:bCs w:val="0"/>
      <w:i w:val="0"/>
      <w:iCs w:val="0"/>
      <w:strike w:val="0"/>
      <w:dstrike w:val="0"/>
      <w:color w:val="auto"/>
      <w:sz w:val="20"/>
      <w:szCs w:val="20"/>
      <w:u w:val="none"/>
      <w:effect w:val="none"/>
    </w:rPr>
  </w:style>
  <w:style w:type="paragraph" w:styleId="BalloonText">
    <w:name w:val="Balloon Text"/>
    <w:basedOn w:val="Normal"/>
    <w:link w:val="BalloonTextChar"/>
    <w:rsid w:val="006764CF"/>
    <w:rPr>
      <w:rFonts w:ascii="Tahoma" w:hAnsi="Tahoma" w:cs="Tahoma"/>
      <w:sz w:val="16"/>
      <w:szCs w:val="16"/>
    </w:rPr>
  </w:style>
  <w:style w:type="character" w:customStyle="1" w:styleId="BalloonTextChar">
    <w:name w:val="Balloon Text Char"/>
    <w:basedOn w:val="DefaultParagraphFont"/>
    <w:link w:val="BalloonText"/>
    <w:rsid w:val="006764CF"/>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se.ac.uk/collections/graduateDestina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se.ac.uk/resources/calendar/programmeRegulations/taughtMasters/2012_LLM.htm" TargetMode="External"/><Relationship Id="rId5" Type="http://schemas.openxmlformats.org/officeDocument/2006/relationships/hyperlink" Target="http://www2.lse.ac.uk/intranet/careersAndVacancies/careersService/Home.aspx"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1403</Words>
  <Characters>8014</Characters>
  <Application>Microsoft Office Word</Application>
  <DocSecurity>0</DocSecurity>
  <Lines>66</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London School of Economics and Political Science</Company>
  <LinksUpToDate>false</LinksUpToDate>
  <CharactersWithSpaces>9399</CharactersWithSpaces>
  <SharedDoc>false</SharedDoc>
  <HLinks>
    <vt:vector size="18" baseType="variant">
      <vt:variant>
        <vt:i4>3407993</vt:i4>
      </vt:variant>
      <vt:variant>
        <vt:i4>6</vt:i4>
      </vt:variant>
      <vt:variant>
        <vt:i4>0</vt:i4>
      </vt:variant>
      <vt:variant>
        <vt:i4>5</vt:i4>
      </vt:variant>
      <vt:variant>
        <vt:lpwstr>http://www.lse.ac.uk/collections/graduateDestinations/</vt:lpwstr>
      </vt:variant>
      <vt:variant>
        <vt:lpwstr/>
      </vt:variant>
      <vt:variant>
        <vt:i4>5177458</vt:i4>
      </vt:variant>
      <vt:variant>
        <vt:i4>3</vt:i4>
      </vt:variant>
      <vt:variant>
        <vt:i4>0</vt:i4>
      </vt:variant>
      <vt:variant>
        <vt:i4>5</vt:i4>
      </vt:variant>
      <vt:variant>
        <vt:lpwstr>http://www.lse.ac.uk/resources/calendar/programmeRegulations/taughtMasters/2009_LLM.htm</vt:lpwstr>
      </vt:variant>
      <vt:variant>
        <vt:lpwstr/>
      </vt:variant>
      <vt:variant>
        <vt:i4>5373955</vt:i4>
      </vt:variant>
      <vt:variant>
        <vt:i4>0</vt:i4>
      </vt:variant>
      <vt:variant>
        <vt:i4>0</vt:i4>
      </vt:variant>
      <vt:variant>
        <vt:i4>5</vt:i4>
      </vt:variant>
      <vt:variant>
        <vt:lpwstr>https://www2.lse.ac.uk/intranet/LSEServices/divisionsAndDepartments/careersService/internal/InformationCurrentStudents/Home.aspx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Jordan,SJ</dc:creator>
  <cp:lastModifiedBy>Tom Hewlett</cp:lastModifiedBy>
  <cp:revision>3</cp:revision>
  <dcterms:created xsi:type="dcterms:W3CDTF">2012-11-27T15:25:00Z</dcterms:created>
  <dcterms:modified xsi:type="dcterms:W3CDTF">2012-11-27T15:37:00Z</dcterms:modified>
</cp:coreProperties>
</file>