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4BA9" w:rsidRDefault="004946ED" w:rsidP="00DE3E04">
      <w:pPr>
        <w:pStyle w:val="Heading2"/>
        <w:rPr>
          <w:bCs w:val="0"/>
        </w:rPr>
      </w:pPr>
      <w:r>
        <w:t xml:space="preserve">Programme Specification: </w:t>
      </w:r>
      <w:r w:rsidR="00854BA9">
        <w:rPr>
          <w:rFonts w:ascii="Arial Bold" w:hAnsi="Arial Bold"/>
          <w:bCs w:val="0"/>
        </w:rPr>
        <w:t>MSc</w:t>
      </w:r>
      <w:r w:rsidR="00854BA9">
        <w:rPr>
          <w:rFonts w:ascii="Arial Bold" w:hAnsi="Arial Bold"/>
          <w:b w:val="0"/>
          <w:bCs w:val="0"/>
        </w:rPr>
        <w:t xml:space="preserve"> </w:t>
      </w:r>
      <w:r>
        <w:rPr>
          <w:rFonts w:ascii="Arial Bold" w:hAnsi="Arial Bold"/>
          <w:bCs w:val="0"/>
        </w:rPr>
        <w:t xml:space="preserve">International Development </w:t>
      </w:r>
      <w:r w:rsidR="00854BA9">
        <w:rPr>
          <w:rFonts w:ascii="Arial Bold" w:hAnsi="Arial Bold"/>
          <w:bCs w:val="0"/>
        </w:rPr>
        <w:t>and Humanitarian Emergencies</w:t>
      </w:r>
    </w:p>
    <w:p w:rsidR="00854BA9" w:rsidRDefault="00854BA9" w:rsidP="00854BA9">
      <w:pPr>
        <w:rPr>
          <w:rFonts w:cs="Arial"/>
          <w:b/>
          <w:b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1"/>
        <w:gridCol w:w="4261"/>
      </w:tblGrid>
      <w:tr w:rsidR="00854BA9" w:rsidTr="00854BA9">
        <w:tc>
          <w:tcPr>
            <w:tcW w:w="4261" w:type="dxa"/>
            <w:tcBorders>
              <w:top w:val="single" w:sz="4" w:space="0" w:color="auto"/>
              <w:left w:val="single" w:sz="4" w:space="0" w:color="auto"/>
              <w:bottom w:val="single" w:sz="4" w:space="0" w:color="auto"/>
              <w:right w:val="single" w:sz="4" w:space="0" w:color="auto"/>
            </w:tcBorders>
            <w:hideMark/>
          </w:tcPr>
          <w:p w:rsidR="00854BA9" w:rsidRDefault="00854BA9">
            <w:pPr>
              <w:rPr>
                <w:rFonts w:cs="Arial"/>
                <w:b/>
                <w:bCs/>
                <w:szCs w:val="20"/>
              </w:rPr>
            </w:pPr>
            <w:r>
              <w:rPr>
                <w:rFonts w:cs="Arial"/>
                <w:b/>
                <w:bCs/>
                <w:szCs w:val="20"/>
              </w:rPr>
              <w:t>1. Awarding Body</w:t>
            </w:r>
          </w:p>
        </w:tc>
        <w:tc>
          <w:tcPr>
            <w:tcW w:w="4261" w:type="dxa"/>
            <w:tcBorders>
              <w:top w:val="single" w:sz="4" w:space="0" w:color="auto"/>
              <w:left w:val="single" w:sz="4" w:space="0" w:color="auto"/>
              <w:bottom w:val="single" w:sz="4" w:space="0" w:color="auto"/>
              <w:right w:val="single" w:sz="4" w:space="0" w:color="auto"/>
            </w:tcBorders>
            <w:hideMark/>
          </w:tcPr>
          <w:p w:rsidR="00854BA9" w:rsidRDefault="00854BA9">
            <w:pPr>
              <w:rPr>
                <w:rFonts w:cs="Arial"/>
                <w:i/>
                <w:szCs w:val="20"/>
              </w:rPr>
            </w:pPr>
            <w:r>
              <w:rPr>
                <w:rFonts w:cs="Arial"/>
                <w:spacing w:val="-2"/>
                <w:szCs w:val="20"/>
              </w:rPr>
              <w:t xml:space="preserve">LSE </w:t>
            </w:r>
          </w:p>
        </w:tc>
      </w:tr>
      <w:tr w:rsidR="00854BA9" w:rsidTr="00854BA9">
        <w:tc>
          <w:tcPr>
            <w:tcW w:w="4261" w:type="dxa"/>
            <w:tcBorders>
              <w:top w:val="single" w:sz="4" w:space="0" w:color="auto"/>
              <w:left w:val="single" w:sz="4" w:space="0" w:color="auto"/>
              <w:bottom w:val="single" w:sz="4" w:space="0" w:color="auto"/>
              <w:right w:val="single" w:sz="4" w:space="0" w:color="auto"/>
            </w:tcBorders>
            <w:hideMark/>
          </w:tcPr>
          <w:p w:rsidR="00854BA9" w:rsidRDefault="00854BA9">
            <w:pPr>
              <w:rPr>
                <w:rFonts w:cs="Arial"/>
                <w:b/>
                <w:bCs/>
                <w:szCs w:val="20"/>
              </w:rPr>
            </w:pPr>
            <w:r>
              <w:rPr>
                <w:rFonts w:cs="Arial"/>
                <w:b/>
                <w:bCs/>
                <w:szCs w:val="20"/>
              </w:rPr>
              <w:t xml:space="preserve">2. Details of accreditation by a professional/statutory body, e.g. ESRC; BPS </w:t>
            </w:r>
            <w:proofErr w:type="spellStart"/>
            <w:r>
              <w:rPr>
                <w:rFonts w:cs="Arial"/>
                <w:b/>
                <w:bCs/>
                <w:szCs w:val="20"/>
              </w:rPr>
              <w:t>etc</w:t>
            </w:r>
            <w:proofErr w:type="spellEnd"/>
          </w:p>
        </w:tc>
        <w:tc>
          <w:tcPr>
            <w:tcW w:w="4261" w:type="dxa"/>
            <w:tcBorders>
              <w:top w:val="single" w:sz="4" w:space="0" w:color="auto"/>
              <w:left w:val="single" w:sz="4" w:space="0" w:color="auto"/>
              <w:bottom w:val="single" w:sz="4" w:space="0" w:color="auto"/>
              <w:right w:val="single" w:sz="4" w:space="0" w:color="auto"/>
            </w:tcBorders>
            <w:hideMark/>
          </w:tcPr>
          <w:p w:rsidR="00854BA9" w:rsidRDefault="00854BA9">
            <w:pPr>
              <w:pStyle w:val="CommentText"/>
              <w:rPr>
                <w:rFonts w:cs="Arial"/>
              </w:rPr>
            </w:pPr>
            <w:r>
              <w:rPr>
                <w:rFonts w:cs="Arial"/>
              </w:rPr>
              <w:t>N/A</w:t>
            </w:r>
          </w:p>
        </w:tc>
      </w:tr>
      <w:tr w:rsidR="00854BA9" w:rsidTr="00854BA9">
        <w:tc>
          <w:tcPr>
            <w:tcW w:w="4261" w:type="dxa"/>
            <w:tcBorders>
              <w:top w:val="single" w:sz="4" w:space="0" w:color="auto"/>
              <w:left w:val="single" w:sz="4" w:space="0" w:color="auto"/>
              <w:bottom w:val="single" w:sz="4" w:space="0" w:color="auto"/>
              <w:right w:val="single" w:sz="4" w:space="0" w:color="auto"/>
            </w:tcBorders>
            <w:hideMark/>
          </w:tcPr>
          <w:p w:rsidR="00854BA9" w:rsidRDefault="00854BA9">
            <w:pPr>
              <w:rPr>
                <w:rFonts w:cs="Arial"/>
                <w:b/>
                <w:bCs/>
                <w:szCs w:val="20"/>
              </w:rPr>
            </w:pPr>
            <w:r>
              <w:rPr>
                <w:rFonts w:cs="Arial"/>
                <w:b/>
                <w:bCs/>
                <w:szCs w:val="20"/>
              </w:rPr>
              <w:t>3. Name of final award</w:t>
            </w:r>
          </w:p>
        </w:tc>
        <w:tc>
          <w:tcPr>
            <w:tcW w:w="4261" w:type="dxa"/>
            <w:tcBorders>
              <w:top w:val="single" w:sz="4" w:space="0" w:color="auto"/>
              <w:left w:val="single" w:sz="4" w:space="0" w:color="auto"/>
              <w:bottom w:val="single" w:sz="4" w:space="0" w:color="auto"/>
              <w:right w:val="single" w:sz="4" w:space="0" w:color="auto"/>
            </w:tcBorders>
            <w:hideMark/>
          </w:tcPr>
          <w:p w:rsidR="00854BA9" w:rsidRDefault="00854BA9">
            <w:pPr>
              <w:pStyle w:val="CommentText"/>
              <w:rPr>
                <w:rFonts w:cs="Arial"/>
              </w:rPr>
            </w:pPr>
            <w:r>
              <w:rPr>
                <w:rFonts w:cs="Arial"/>
              </w:rPr>
              <w:t xml:space="preserve">MSc </w:t>
            </w:r>
          </w:p>
        </w:tc>
      </w:tr>
      <w:tr w:rsidR="00854BA9" w:rsidTr="00854BA9">
        <w:tc>
          <w:tcPr>
            <w:tcW w:w="4261" w:type="dxa"/>
            <w:tcBorders>
              <w:top w:val="single" w:sz="4" w:space="0" w:color="auto"/>
              <w:left w:val="single" w:sz="4" w:space="0" w:color="auto"/>
              <w:bottom w:val="single" w:sz="4" w:space="0" w:color="auto"/>
              <w:right w:val="single" w:sz="4" w:space="0" w:color="auto"/>
            </w:tcBorders>
            <w:hideMark/>
          </w:tcPr>
          <w:p w:rsidR="00854BA9" w:rsidRDefault="00854BA9">
            <w:pPr>
              <w:rPr>
                <w:rFonts w:cs="Arial"/>
                <w:b/>
                <w:bCs/>
                <w:szCs w:val="20"/>
              </w:rPr>
            </w:pPr>
            <w:r>
              <w:rPr>
                <w:rFonts w:cs="Arial"/>
                <w:b/>
                <w:bCs/>
                <w:szCs w:val="20"/>
              </w:rPr>
              <w:t>4. Programme Title</w:t>
            </w:r>
          </w:p>
        </w:tc>
        <w:tc>
          <w:tcPr>
            <w:tcW w:w="4261" w:type="dxa"/>
            <w:tcBorders>
              <w:top w:val="single" w:sz="4" w:space="0" w:color="auto"/>
              <w:left w:val="single" w:sz="4" w:space="0" w:color="auto"/>
              <w:bottom w:val="single" w:sz="4" w:space="0" w:color="auto"/>
              <w:right w:val="single" w:sz="4" w:space="0" w:color="auto"/>
            </w:tcBorders>
            <w:hideMark/>
          </w:tcPr>
          <w:p w:rsidR="00854BA9" w:rsidRDefault="00854BA9">
            <w:pPr>
              <w:rPr>
                <w:rFonts w:cs="Arial"/>
                <w:szCs w:val="20"/>
              </w:rPr>
            </w:pPr>
            <w:r>
              <w:rPr>
                <w:rFonts w:cs="Arial"/>
                <w:szCs w:val="20"/>
              </w:rPr>
              <w:t>International Aid and Humanitarian Emergencies</w:t>
            </w:r>
          </w:p>
        </w:tc>
      </w:tr>
      <w:tr w:rsidR="00854BA9" w:rsidTr="00854BA9">
        <w:tc>
          <w:tcPr>
            <w:tcW w:w="4261" w:type="dxa"/>
            <w:tcBorders>
              <w:top w:val="single" w:sz="4" w:space="0" w:color="auto"/>
              <w:left w:val="single" w:sz="4" w:space="0" w:color="auto"/>
              <w:bottom w:val="single" w:sz="4" w:space="0" w:color="auto"/>
              <w:right w:val="single" w:sz="4" w:space="0" w:color="auto"/>
            </w:tcBorders>
            <w:hideMark/>
          </w:tcPr>
          <w:p w:rsidR="00854BA9" w:rsidRDefault="00854BA9">
            <w:pPr>
              <w:rPr>
                <w:rFonts w:cs="Arial"/>
                <w:b/>
                <w:bCs/>
                <w:szCs w:val="20"/>
              </w:rPr>
            </w:pPr>
            <w:r>
              <w:rPr>
                <w:rFonts w:cs="Arial"/>
                <w:b/>
                <w:bCs/>
                <w:szCs w:val="20"/>
              </w:rPr>
              <w:t>5. Duration of the course</w:t>
            </w:r>
          </w:p>
        </w:tc>
        <w:tc>
          <w:tcPr>
            <w:tcW w:w="4261" w:type="dxa"/>
            <w:tcBorders>
              <w:top w:val="single" w:sz="4" w:space="0" w:color="auto"/>
              <w:left w:val="single" w:sz="4" w:space="0" w:color="auto"/>
              <w:bottom w:val="single" w:sz="4" w:space="0" w:color="auto"/>
              <w:right w:val="single" w:sz="4" w:space="0" w:color="auto"/>
            </w:tcBorders>
            <w:hideMark/>
          </w:tcPr>
          <w:p w:rsidR="00854BA9" w:rsidRDefault="00854BA9">
            <w:pPr>
              <w:rPr>
                <w:rFonts w:cs="Arial"/>
                <w:szCs w:val="20"/>
              </w:rPr>
            </w:pPr>
            <w:r>
              <w:rPr>
                <w:rFonts w:cs="Arial"/>
                <w:szCs w:val="20"/>
              </w:rPr>
              <w:t>12 months</w:t>
            </w:r>
          </w:p>
        </w:tc>
      </w:tr>
      <w:tr w:rsidR="00854BA9" w:rsidTr="00854BA9">
        <w:tc>
          <w:tcPr>
            <w:tcW w:w="4261" w:type="dxa"/>
            <w:tcBorders>
              <w:top w:val="single" w:sz="4" w:space="0" w:color="auto"/>
              <w:left w:val="single" w:sz="4" w:space="0" w:color="auto"/>
              <w:bottom w:val="single" w:sz="4" w:space="0" w:color="auto"/>
              <w:right w:val="single" w:sz="4" w:space="0" w:color="auto"/>
            </w:tcBorders>
            <w:hideMark/>
          </w:tcPr>
          <w:p w:rsidR="00854BA9" w:rsidRDefault="00854BA9">
            <w:pPr>
              <w:rPr>
                <w:rFonts w:cs="Arial"/>
                <w:b/>
                <w:bCs/>
                <w:szCs w:val="20"/>
              </w:rPr>
            </w:pPr>
            <w:r>
              <w:rPr>
                <w:rFonts w:cs="Arial"/>
                <w:b/>
                <w:bCs/>
                <w:szCs w:val="20"/>
              </w:rPr>
              <w:t>6. Based in the Department/Institute:</w:t>
            </w:r>
          </w:p>
        </w:tc>
        <w:tc>
          <w:tcPr>
            <w:tcW w:w="4261" w:type="dxa"/>
            <w:tcBorders>
              <w:top w:val="single" w:sz="4" w:space="0" w:color="auto"/>
              <w:left w:val="single" w:sz="4" w:space="0" w:color="auto"/>
              <w:bottom w:val="single" w:sz="4" w:space="0" w:color="auto"/>
              <w:right w:val="single" w:sz="4" w:space="0" w:color="auto"/>
            </w:tcBorders>
            <w:hideMark/>
          </w:tcPr>
          <w:p w:rsidR="00854BA9" w:rsidRDefault="00DA53E3">
            <w:pPr>
              <w:rPr>
                <w:rFonts w:cs="Arial"/>
                <w:szCs w:val="20"/>
              </w:rPr>
            </w:pPr>
            <w:r>
              <w:rPr>
                <w:rFonts w:cs="Arial"/>
              </w:rPr>
              <w:t>International Development</w:t>
            </w:r>
          </w:p>
        </w:tc>
      </w:tr>
      <w:tr w:rsidR="00854BA9" w:rsidTr="00854BA9">
        <w:tc>
          <w:tcPr>
            <w:tcW w:w="4261" w:type="dxa"/>
            <w:tcBorders>
              <w:top w:val="single" w:sz="4" w:space="0" w:color="auto"/>
              <w:left w:val="single" w:sz="4" w:space="0" w:color="auto"/>
              <w:bottom w:val="single" w:sz="4" w:space="0" w:color="auto"/>
              <w:right w:val="single" w:sz="4" w:space="0" w:color="auto"/>
            </w:tcBorders>
            <w:hideMark/>
          </w:tcPr>
          <w:p w:rsidR="00854BA9" w:rsidRDefault="00854BA9">
            <w:pPr>
              <w:rPr>
                <w:rFonts w:cs="Arial"/>
                <w:b/>
                <w:bCs/>
                <w:szCs w:val="20"/>
              </w:rPr>
            </w:pPr>
            <w:r>
              <w:rPr>
                <w:rFonts w:cs="Arial"/>
                <w:b/>
                <w:bCs/>
                <w:szCs w:val="20"/>
              </w:rPr>
              <w:t>7. Relevant QAA subject benchmark statements</w:t>
            </w:r>
          </w:p>
        </w:tc>
        <w:tc>
          <w:tcPr>
            <w:tcW w:w="4261" w:type="dxa"/>
            <w:tcBorders>
              <w:top w:val="single" w:sz="4" w:space="0" w:color="auto"/>
              <w:left w:val="single" w:sz="4" w:space="0" w:color="auto"/>
              <w:bottom w:val="single" w:sz="4" w:space="0" w:color="auto"/>
              <w:right w:val="single" w:sz="4" w:space="0" w:color="auto"/>
            </w:tcBorders>
            <w:hideMark/>
          </w:tcPr>
          <w:p w:rsidR="00854BA9" w:rsidRDefault="00854BA9">
            <w:r>
              <w:t>N/A</w:t>
            </w:r>
          </w:p>
        </w:tc>
      </w:tr>
      <w:tr w:rsidR="00854BA9" w:rsidTr="00854BA9">
        <w:tc>
          <w:tcPr>
            <w:tcW w:w="4261" w:type="dxa"/>
            <w:tcBorders>
              <w:top w:val="single" w:sz="4" w:space="0" w:color="auto"/>
              <w:left w:val="single" w:sz="4" w:space="0" w:color="auto"/>
              <w:bottom w:val="single" w:sz="4" w:space="0" w:color="auto"/>
              <w:right w:val="single" w:sz="4" w:space="0" w:color="auto"/>
            </w:tcBorders>
            <w:hideMark/>
          </w:tcPr>
          <w:p w:rsidR="00854BA9" w:rsidRDefault="00854BA9">
            <w:pPr>
              <w:rPr>
                <w:rFonts w:cs="Arial"/>
                <w:b/>
                <w:bCs/>
                <w:szCs w:val="20"/>
              </w:rPr>
            </w:pPr>
            <w:r>
              <w:rPr>
                <w:rFonts w:cs="Arial"/>
                <w:b/>
                <w:bCs/>
                <w:szCs w:val="20"/>
              </w:rPr>
              <w:t>8. UCAS Code</w:t>
            </w:r>
          </w:p>
        </w:tc>
        <w:tc>
          <w:tcPr>
            <w:tcW w:w="4261" w:type="dxa"/>
            <w:tcBorders>
              <w:top w:val="single" w:sz="4" w:space="0" w:color="auto"/>
              <w:left w:val="single" w:sz="4" w:space="0" w:color="auto"/>
              <w:bottom w:val="single" w:sz="4" w:space="0" w:color="auto"/>
              <w:right w:val="single" w:sz="4" w:space="0" w:color="auto"/>
            </w:tcBorders>
            <w:hideMark/>
          </w:tcPr>
          <w:p w:rsidR="00854BA9" w:rsidRDefault="00854BA9">
            <w:pPr>
              <w:rPr>
                <w:rFonts w:cs="Arial"/>
                <w:szCs w:val="20"/>
              </w:rPr>
            </w:pPr>
            <w:r>
              <w:rPr>
                <w:rFonts w:cs="Arial"/>
                <w:szCs w:val="20"/>
              </w:rPr>
              <w:t>N/A</w:t>
            </w:r>
          </w:p>
        </w:tc>
      </w:tr>
      <w:tr w:rsidR="00854BA9" w:rsidTr="00854BA9">
        <w:tc>
          <w:tcPr>
            <w:tcW w:w="4261" w:type="dxa"/>
            <w:tcBorders>
              <w:top w:val="single" w:sz="4" w:space="0" w:color="auto"/>
              <w:left w:val="single" w:sz="4" w:space="0" w:color="auto"/>
              <w:bottom w:val="single" w:sz="4" w:space="0" w:color="auto"/>
              <w:right w:val="single" w:sz="4" w:space="0" w:color="auto"/>
            </w:tcBorders>
            <w:hideMark/>
          </w:tcPr>
          <w:p w:rsidR="00854BA9" w:rsidRDefault="00854BA9">
            <w:pPr>
              <w:rPr>
                <w:rFonts w:cs="Arial"/>
                <w:b/>
                <w:bCs/>
                <w:szCs w:val="20"/>
              </w:rPr>
            </w:pPr>
            <w:r>
              <w:rPr>
                <w:rFonts w:cs="Arial"/>
                <w:b/>
                <w:bCs/>
                <w:szCs w:val="20"/>
              </w:rPr>
              <w:t>9. First written/last amended</w:t>
            </w:r>
          </w:p>
        </w:tc>
        <w:tc>
          <w:tcPr>
            <w:tcW w:w="4261" w:type="dxa"/>
            <w:tcBorders>
              <w:top w:val="single" w:sz="4" w:space="0" w:color="auto"/>
              <w:left w:val="single" w:sz="4" w:space="0" w:color="auto"/>
              <w:bottom w:val="single" w:sz="4" w:space="0" w:color="auto"/>
              <w:right w:val="single" w:sz="4" w:space="0" w:color="auto"/>
            </w:tcBorders>
            <w:hideMark/>
          </w:tcPr>
          <w:p w:rsidR="00854BA9" w:rsidRDefault="00854BA9">
            <w:pPr>
              <w:rPr>
                <w:rFonts w:cs="Arial"/>
                <w:szCs w:val="20"/>
              </w:rPr>
            </w:pPr>
            <w:r>
              <w:rPr>
                <w:rFonts w:cs="Arial"/>
                <w:szCs w:val="20"/>
              </w:rPr>
              <w:t>March 2010</w:t>
            </w:r>
          </w:p>
        </w:tc>
      </w:tr>
    </w:tbl>
    <w:p w:rsidR="00854BA9" w:rsidRDefault="00854BA9" w:rsidP="00854BA9">
      <w:pPr>
        <w:rPr>
          <w:rFonts w:cs="Arial"/>
          <w:b/>
          <w:bCs/>
          <w:szCs w:val="20"/>
        </w:rPr>
      </w:pPr>
    </w:p>
    <w:p w:rsidR="004946ED" w:rsidRDefault="004946ED" w:rsidP="00854BA9">
      <w:pPr>
        <w:rPr>
          <w:rFonts w:cs="Arial"/>
          <w:b/>
          <w:b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2"/>
      </w:tblGrid>
      <w:tr w:rsidR="00854BA9" w:rsidTr="00854BA9">
        <w:tc>
          <w:tcPr>
            <w:tcW w:w="8522" w:type="dxa"/>
            <w:tcBorders>
              <w:top w:val="single" w:sz="4" w:space="0" w:color="auto"/>
              <w:left w:val="single" w:sz="4" w:space="0" w:color="auto"/>
              <w:bottom w:val="single" w:sz="4" w:space="0" w:color="auto"/>
              <w:right w:val="single" w:sz="4" w:space="0" w:color="auto"/>
            </w:tcBorders>
            <w:hideMark/>
          </w:tcPr>
          <w:p w:rsidR="00854BA9" w:rsidRDefault="00854BA9">
            <w:pPr>
              <w:rPr>
                <w:rFonts w:cs="Arial"/>
                <w:b/>
                <w:bCs/>
                <w:szCs w:val="20"/>
              </w:rPr>
            </w:pPr>
            <w:r>
              <w:rPr>
                <w:rFonts w:cs="Arial"/>
                <w:b/>
                <w:bCs/>
                <w:szCs w:val="20"/>
              </w:rPr>
              <w:t>10. The programme aims to:</w:t>
            </w:r>
          </w:p>
        </w:tc>
      </w:tr>
      <w:tr w:rsidR="00854BA9" w:rsidTr="00854BA9">
        <w:tc>
          <w:tcPr>
            <w:tcW w:w="8522" w:type="dxa"/>
            <w:tcBorders>
              <w:top w:val="single" w:sz="4" w:space="0" w:color="auto"/>
              <w:left w:val="single" w:sz="4" w:space="0" w:color="auto"/>
              <w:bottom w:val="single" w:sz="4" w:space="0" w:color="auto"/>
              <w:right w:val="single" w:sz="4" w:space="0" w:color="auto"/>
            </w:tcBorders>
          </w:tcPr>
          <w:p w:rsidR="00854BA9" w:rsidRDefault="00854BA9">
            <w:pPr>
              <w:tabs>
                <w:tab w:val="left" w:pos="-720"/>
                <w:tab w:val="left" w:pos="0"/>
              </w:tabs>
              <w:suppressAutoHyphens/>
              <w:jc w:val="both"/>
              <w:rPr>
                <w:rFonts w:cs="Arial"/>
                <w:i/>
                <w:szCs w:val="20"/>
              </w:rPr>
            </w:pPr>
          </w:p>
          <w:p w:rsidR="00854BA9" w:rsidRDefault="00854BA9" w:rsidP="00C7144E">
            <w:pPr>
              <w:numPr>
                <w:ilvl w:val="0"/>
                <w:numId w:val="3"/>
              </w:numPr>
              <w:tabs>
                <w:tab w:val="left" w:pos="-720"/>
                <w:tab w:val="left" w:pos="0"/>
              </w:tabs>
              <w:suppressAutoHyphens/>
              <w:jc w:val="both"/>
              <w:rPr>
                <w:rFonts w:cs="Arial"/>
                <w:szCs w:val="20"/>
              </w:rPr>
            </w:pPr>
            <w:r>
              <w:rPr>
                <w:rFonts w:cs="Arial"/>
                <w:szCs w:val="20"/>
              </w:rPr>
              <w:t>provide advanced post-graduate education and training in the interdisciplinary field of Development Studies in a research-active environment and one that also brings together students from a wide variety of backgrounds (so helping to stimulate the learning by students from each other):</w:t>
            </w:r>
          </w:p>
          <w:p w:rsidR="00854BA9" w:rsidRDefault="00854BA9" w:rsidP="00C7144E">
            <w:pPr>
              <w:numPr>
                <w:ilvl w:val="0"/>
                <w:numId w:val="3"/>
              </w:numPr>
              <w:tabs>
                <w:tab w:val="left" w:pos="-720"/>
                <w:tab w:val="left" w:pos="0"/>
              </w:tabs>
              <w:suppressAutoHyphens/>
              <w:jc w:val="both"/>
              <w:rPr>
                <w:rFonts w:cs="Arial"/>
                <w:szCs w:val="20"/>
              </w:rPr>
            </w:pPr>
            <w:r>
              <w:rPr>
                <w:rFonts w:cs="Arial"/>
                <w:szCs w:val="20"/>
              </w:rPr>
              <w:t xml:space="preserve">(b) to provide students with the skills either to engage in further academic research or to work in the wide range of careers concerned with problems, issues and policies facing countries developing countries encountering humanitarian emergencies </w:t>
            </w:r>
          </w:p>
          <w:p w:rsidR="00854BA9" w:rsidRDefault="00854BA9" w:rsidP="00C7144E">
            <w:pPr>
              <w:numPr>
                <w:ilvl w:val="0"/>
                <w:numId w:val="3"/>
              </w:numPr>
              <w:tabs>
                <w:tab w:val="left" w:pos="-720"/>
                <w:tab w:val="left" w:pos="0"/>
              </w:tabs>
              <w:suppressAutoHyphens/>
              <w:jc w:val="both"/>
              <w:rPr>
                <w:rFonts w:cs="Arial"/>
                <w:szCs w:val="20"/>
              </w:rPr>
            </w:pPr>
            <w:r>
              <w:rPr>
                <w:rFonts w:cs="Arial"/>
                <w:szCs w:val="20"/>
              </w:rPr>
              <w:t xml:space="preserve">The aim of the MSc in International Development and Humanitarian Emergencies is to provide interdisciplinary skills and knowledge to post-graduate students looking for high level careers in public, private and voluntary agencies related to the management processes of humanitarian aid at both national and international levels. </w:t>
            </w:r>
          </w:p>
          <w:p w:rsidR="00854BA9" w:rsidRDefault="00854BA9">
            <w:pPr>
              <w:tabs>
                <w:tab w:val="left" w:pos="-720"/>
                <w:tab w:val="left" w:pos="0"/>
              </w:tabs>
              <w:suppressAutoHyphens/>
              <w:jc w:val="both"/>
              <w:rPr>
                <w:rFonts w:cs="Arial"/>
                <w:i/>
                <w:szCs w:val="20"/>
              </w:rPr>
            </w:pPr>
          </w:p>
          <w:p w:rsidR="00854BA9" w:rsidRDefault="00854BA9">
            <w:pPr>
              <w:tabs>
                <w:tab w:val="left" w:pos="-720"/>
                <w:tab w:val="left" w:pos="0"/>
              </w:tabs>
              <w:suppressAutoHyphens/>
              <w:jc w:val="both"/>
              <w:rPr>
                <w:rFonts w:cs="Arial"/>
                <w:szCs w:val="20"/>
              </w:rPr>
            </w:pPr>
            <w:r>
              <w:rPr>
                <w:rFonts w:cs="Arial"/>
                <w:szCs w:val="20"/>
              </w:rPr>
              <w:t>The programme aims to provide students with the knowledge and skills set required to assist Aid, NGO or other organisations with problem solving, resolution and strategy. These are necessary requirements for organisations planning to meet the needs of any humanitarian crisis and to provide assistance</w:t>
            </w:r>
            <w:r w:rsidR="004946ED">
              <w:rPr>
                <w:rFonts w:cs="Arial"/>
                <w:szCs w:val="20"/>
              </w:rPr>
              <w:t>.</w:t>
            </w:r>
          </w:p>
          <w:p w:rsidR="004946ED" w:rsidRDefault="004946ED">
            <w:pPr>
              <w:tabs>
                <w:tab w:val="left" w:pos="-720"/>
                <w:tab w:val="left" w:pos="0"/>
              </w:tabs>
              <w:suppressAutoHyphens/>
              <w:jc w:val="both"/>
              <w:rPr>
                <w:rFonts w:cs="Arial"/>
                <w:szCs w:val="20"/>
              </w:rPr>
            </w:pPr>
          </w:p>
        </w:tc>
      </w:tr>
    </w:tbl>
    <w:p w:rsidR="00854BA9" w:rsidRDefault="00854BA9" w:rsidP="00854BA9">
      <w:pPr>
        <w:rPr>
          <w:rFonts w:cs="Arial"/>
          <w:b/>
          <w:bCs/>
          <w:szCs w:val="20"/>
        </w:rPr>
      </w:pPr>
    </w:p>
    <w:p w:rsidR="004946ED" w:rsidRDefault="004946ED" w:rsidP="00854BA9">
      <w:pPr>
        <w:rPr>
          <w:rFonts w:cs="Arial"/>
          <w:b/>
          <w:bCs/>
          <w:szCs w:val="20"/>
        </w:rPr>
      </w:pPr>
    </w:p>
    <w:tbl>
      <w:tblPr>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68"/>
      </w:tblGrid>
      <w:tr w:rsidR="00854BA9" w:rsidTr="00854BA9">
        <w:tc>
          <w:tcPr>
            <w:tcW w:w="8568" w:type="dxa"/>
            <w:tcBorders>
              <w:top w:val="single" w:sz="4" w:space="0" w:color="auto"/>
              <w:left w:val="single" w:sz="4" w:space="0" w:color="auto"/>
              <w:bottom w:val="single" w:sz="4" w:space="0" w:color="auto"/>
              <w:right w:val="single" w:sz="4" w:space="0" w:color="auto"/>
            </w:tcBorders>
            <w:hideMark/>
          </w:tcPr>
          <w:p w:rsidR="00854BA9" w:rsidRDefault="00854BA9">
            <w:pPr>
              <w:rPr>
                <w:rFonts w:cs="Arial"/>
                <w:b/>
                <w:bCs/>
                <w:szCs w:val="20"/>
              </w:rPr>
            </w:pPr>
            <w:r>
              <w:rPr>
                <w:rFonts w:cs="Arial"/>
                <w:b/>
                <w:bCs/>
                <w:szCs w:val="20"/>
              </w:rPr>
              <w:t>11. Programme outcomes: knowledge and understanding; skills and other attributes</w:t>
            </w:r>
          </w:p>
        </w:tc>
      </w:tr>
      <w:tr w:rsidR="00854BA9" w:rsidTr="00854BA9">
        <w:tc>
          <w:tcPr>
            <w:tcW w:w="8568" w:type="dxa"/>
            <w:tcBorders>
              <w:top w:val="single" w:sz="4" w:space="0" w:color="auto"/>
              <w:left w:val="single" w:sz="4" w:space="0" w:color="auto"/>
              <w:bottom w:val="single" w:sz="4" w:space="0" w:color="auto"/>
              <w:right w:val="single" w:sz="4" w:space="0" w:color="auto"/>
            </w:tcBorders>
          </w:tcPr>
          <w:p w:rsidR="004946ED" w:rsidRDefault="004946ED">
            <w:pPr>
              <w:pStyle w:val="CommentText"/>
              <w:rPr>
                <w:rFonts w:cs="Arial"/>
              </w:rPr>
            </w:pPr>
          </w:p>
          <w:p w:rsidR="00854BA9" w:rsidRDefault="00854BA9">
            <w:pPr>
              <w:pStyle w:val="CommentText"/>
              <w:rPr>
                <w:rFonts w:cs="Arial"/>
              </w:rPr>
            </w:pPr>
            <w:r>
              <w:rPr>
                <w:rFonts w:cs="Arial"/>
              </w:rPr>
              <w:t>Students who successfully complete our MSc programmes should:</w:t>
            </w:r>
          </w:p>
          <w:p w:rsidR="00854BA9" w:rsidRDefault="00854BA9" w:rsidP="00C7144E">
            <w:pPr>
              <w:pStyle w:val="CommentText"/>
              <w:numPr>
                <w:ilvl w:val="0"/>
                <w:numId w:val="4"/>
              </w:numPr>
              <w:rPr>
                <w:rFonts w:cs="Arial"/>
              </w:rPr>
            </w:pPr>
            <w:r>
              <w:rPr>
                <w:rFonts w:cs="Arial"/>
              </w:rPr>
              <w:t>have an understanding of the historical evolution of thinking about development and of the major theoretical, methodological and policy debates about the development process in both the academic literature and the world of development practice;</w:t>
            </w:r>
          </w:p>
          <w:p w:rsidR="00854BA9" w:rsidRDefault="00854BA9" w:rsidP="00C7144E">
            <w:pPr>
              <w:pStyle w:val="CommentText"/>
              <w:numPr>
                <w:ilvl w:val="0"/>
                <w:numId w:val="4"/>
              </w:numPr>
              <w:rPr>
                <w:rFonts w:cs="Arial"/>
              </w:rPr>
            </w:pPr>
            <w:r>
              <w:rPr>
                <w:rFonts w:cs="Arial"/>
              </w:rPr>
              <w:t>understand the links between political, economic, administrative and social/cultural variables that determine the relationships between states, markets and society, and between global, national and local level structures in the humanitarian emergencies process;</w:t>
            </w:r>
          </w:p>
          <w:p w:rsidR="00854BA9" w:rsidRDefault="00854BA9" w:rsidP="00C7144E">
            <w:pPr>
              <w:pStyle w:val="CommentText"/>
              <w:numPr>
                <w:ilvl w:val="0"/>
                <w:numId w:val="4"/>
              </w:numPr>
              <w:rPr>
                <w:rFonts w:cs="Arial"/>
              </w:rPr>
            </w:pPr>
            <w:r>
              <w:rPr>
                <w:rFonts w:cs="Arial"/>
              </w:rPr>
              <w:t>Understand the meaning of scientific method, the major epistemological debates among those who work on development the principles of data collection and analysis, the key ethical and legal issues related to research, the advantages and disadvantages of qualitative and quantitative methods as well as those of rapid rural appraisal and participatory research common in the development field;</w:t>
            </w:r>
          </w:p>
          <w:p w:rsidR="004946ED" w:rsidRDefault="00854BA9" w:rsidP="00C7144E">
            <w:pPr>
              <w:pStyle w:val="CommentText"/>
              <w:numPr>
                <w:ilvl w:val="0"/>
                <w:numId w:val="4"/>
              </w:numPr>
              <w:rPr>
                <w:rFonts w:cs="Arial"/>
              </w:rPr>
            </w:pPr>
            <w:r>
              <w:rPr>
                <w:rFonts w:cs="Arial"/>
              </w:rPr>
              <w:t xml:space="preserve">Be capable of embarking on interdisciplinary research either in their place of employment or, in the case of those who achieve excellence, a PhD programme; Students who complete the MSc in International Development and Humanitarian Emergencies have often already had some experience in development work before </w:t>
            </w:r>
          </w:p>
          <w:p w:rsidR="004946ED" w:rsidRDefault="004946ED" w:rsidP="004946ED">
            <w:pPr>
              <w:pStyle w:val="CommentText"/>
              <w:ind w:left="720"/>
              <w:rPr>
                <w:rFonts w:cs="Arial"/>
              </w:rPr>
            </w:pPr>
          </w:p>
          <w:p w:rsidR="004946ED" w:rsidRDefault="004946ED" w:rsidP="004946ED">
            <w:pPr>
              <w:pStyle w:val="CommentText"/>
              <w:ind w:left="720"/>
              <w:rPr>
                <w:rFonts w:cs="Arial"/>
              </w:rPr>
            </w:pPr>
          </w:p>
          <w:p w:rsidR="004946ED" w:rsidRDefault="00854BA9" w:rsidP="004946ED">
            <w:pPr>
              <w:pStyle w:val="CommentText"/>
              <w:ind w:left="720"/>
              <w:rPr>
                <w:rFonts w:cs="Arial"/>
              </w:rPr>
            </w:pPr>
            <w:r>
              <w:rPr>
                <w:rFonts w:cs="Arial"/>
              </w:rPr>
              <w:t>studying, and should in particular:</w:t>
            </w:r>
          </w:p>
          <w:p w:rsidR="00854BA9" w:rsidRDefault="00854BA9" w:rsidP="00C7144E">
            <w:pPr>
              <w:pStyle w:val="CommentText"/>
              <w:numPr>
                <w:ilvl w:val="0"/>
                <w:numId w:val="4"/>
              </w:numPr>
              <w:rPr>
                <w:rFonts w:cs="Arial"/>
              </w:rPr>
            </w:pPr>
            <w:r>
              <w:rPr>
                <w:rFonts w:cs="Arial"/>
              </w:rPr>
              <w:t>Be able to reassess their experience and problems of programme and project implementation, as well as processes of institutional and organisational reform, (or for those who have not yet had practical experience, have a critical appreciation of these problems and processes) with insights provided by new developments in institutional and organisational theory;</w:t>
            </w:r>
          </w:p>
          <w:p w:rsidR="00854BA9" w:rsidRDefault="00854BA9" w:rsidP="00C7144E">
            <w:pPr>
              <w:pStyle w:val="CommentText"/>
              <w:numPr>
                <w:ilvl w:val="0"/>
                <w:numId w:val="4"/>
              </w:numPr>
              <w:rPr>
                <w:rFonts w:cs="Arial"/>
                <w:i/>
              </w:rPr>
            </w:pPr>
            <w:r>
              <w:rPr>
                <w:rFonts w:cs="Arial"/>
              </w:rPr>
              <w:t xml:space="preserve">Be able to undertake rigorous analysis of the factors that determine effective performance in the organisations (public, private and voluntary) which societies use to provide people with the goods and services on which their welfare depends. </w:t>
            </w:r>
          </w:p>
          <w:p w:rsidR="00854BA9" w:rsidRDefault="00854BA9">
            <w:pPr>
              <w:pStyle w:val="CommentText"/>
              <w:rPr>
                <w:rFonts w:cs="Arial"/>
                <w:b/>
              </w:rPr>
            </w:pPr>
          </w:p>
        </w:tc>
      </w:tr>
    </w:tbl>
    <w:p w:rsidR="00854BA9" w:rsidRDefault="00854BA9" w:rsidP="00854BA9">
      <w:pPr>
        <w:rPr>
          <w:rFonts w:cs="Arial"/>
          <w:b/>
          <w:bCs/>
          <w:szCs w:val="20"/>
        </w:rPr>
      </w:pPr>
    </w:p>
    <w:p w:rsidR="004946ED" w:rsidRDefault="004946ED" w:rsidP="00854BA9">
      <w:pPr>
        <w:rPr>
          <w:rFonts w:cs="Arial"/>
          <w:b/>
          <w:bCs/>
          <w:szCs w:val="20"/>
        </w:rPr>
      </w:pPr>
    </w:p>
    <w:tbl>
      <w:tblPr>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68"/>
      </w:tblGrid>
      <w:tr w:rsidR="00854BA9" w:rsidTr="00854BA9">
        <w:tc>
          <w:tcPr>
            <w:tcW w:w="8568" w:type="dxa"/>
            <w:tcBorders>
              <w:top w:val="single" w:sz="4" w:space="0" w:color="auto"/>
              <w:left w:val="single" w:sz="4" w:space="0" w:color="auto"/>
              <w:bottom w:val="single" w:sz="4" w:space="0" w:color="auto"/>
              <w:right w:val="single" w:sz="4" w:space="0" w:color="auto"/>
            </w:tcBorders>
            <w:hideMark/>
          </w:tcPr>
          <w:p w:rsidR="00854BA9" w:rsidRDefault="00854BA9">
            <w:pPr>
              <w:rPr>
                <w:rFonts w:cs="Arial"/>
                <w:b/>
                <w:bCs/>
                <w:szCs w:val="20"/>
              </w:rPr>
            </w:pPr>
            <w:r>
              <w:rPr>
                <w:rFonts w:cs="Arial"/>
                <w:b/>
                <w:bCs/>
                <w:szCs w:val="20"/>
              </w:rPr>
              <w:t>12. Teaching, learning and assessment strategies to enable outcomes to be achieved and demonstrated</w:t>
            </w:r>
          </w:p>
        </w:tc>
      </w:tr>
      <w:tr w:rsidR="00854BA9" w:rsidTr="00854BA9">
        <w:tc>
          <w:tcPr>
            <w:tcW w:w="8568" w:type="dxa"/>
            <w:tcBorders>
              <w:top w:val="single" w:sz="4" w:space="0" w:color="auto"/>
              <w:left w:val="single" w:sz="4" w:space="0" w:color="auto"/>
              <w:bottom w:val="single" w:sz="4" w:space="0" w:color="auto"/>
              <w:right w:val="single" w:sz="4" w:space="0" w:color="auto"/>
            </w:tcBorders>
          </w:tcPr>
          <w:p w:rsidR="00854BA9" w:rsidRDefault="00DA53E3" w:rsidP="00C7144E">
            <w:pPr>
              <w:numPr>
                <w:ilvl w:val="0"/>
                <w:numId w:val="5"/>
              </w:numPr>
              <w:tabs>
                <w:tab w:val="left" w:pos="-720"/>
              </w:tabs>
              <w:suppressAutoHyphens/>
              <w:spacing w:before="90"/>
              <w:rPr>
                <w:rFonts w:cs="Arial"/>
                <w:bCs/>
                <w:iCs/>
                <w:spacing w:val="-2"/>
                <w:szCs w:val="20"/>
              </w:rPr>
            </w:pPr>
            <w:r>
              <w:rPr>
                <w:rFonts w:cs="Arial"/>
              </w:rPr>
              <w:t>International Development</w:t>
            </w:r>
            <w:r w:rsidR="00854BA9">
              <w:rPr>
                <w:rFonts w:cs="Arial"/>
                <w:bCs/>
                <w:iCs/>
                <w:spacing w:val="-2"/>
                <w:szCs w:val="20"/>
              </w:rPr>
              <w:t xml:space="preserve"> communicates with all students offered places before they come to the School informing them of recommended preliminary reading, induction activities within the institute, pre-sessional courses offered within the School, as well as any late changes in course offerings or organisation.</w:t>
            </w:r>
          </w:p>
          <w:p w:rsidR="00854BA9" w:rsidRDefault="00854BA9" w:rsidP="00C7144E">
            <w:pPr>
              <w:numPr>
                <w:ilvl w:val="0"/>
                <w:numId w:val="5"/>
              </w:numPr>
              <w:tabs>
                <w:tab w:val="left" w:pos="-720"/>
              </w:tabs>
              <w:suppressAutoHyphens/>
              <w:spacing w:before="90"/>
              <w:rPr>
                <w:rFonts w:cs="Arial"/>
                <w:bCs/>
                <w:iCs/>
                <w:spacing w:val="-2"/>
                <w:szCs w:val="20"/>
              </w:rPr>
            </w:pPr>
            <w:r>
              <w:rPr>
                <w:rFonts w:cs="Arial"/>
                <w:bCs/>
                <w:iCs/>
                <w:spacing w:val="-2"/>
                <w:szCs w:val="20"/>
              </w:rPr>
              <w:t>All courses incorporate dedicated lecture series of from 18-20, 1.5 hour weekly lectures (10 for half unit courses). This is a longer lecture period than is usual in the School, in recognition of the range and diversity of the material covered in the courses.</w:t>
            </w:r>
          </w:p>
          <w:p w:rsidR="00854BA9" w:rsidRDefault="00854BA9" w:rsidP="00C7144E">
            <w:pPr>
              <w:numPr>
                <w:ilvl w:val="0"/>
                <w:numId w:val="5"/>
              </w:numPr>
              <w:tabs>
                <w:tab w:val="left" w:pos="-720"/>
              </w:tabs>
              <w:suppressAutoHyphens/>
              <w:spacing w:before="90"/>
              <w:rPr>
                <w:rFonts w:cs="Arial"/>
                <w:bCs/>
                <w:iCs/>
                <w:spacing w:val="-2"/>
                <w:szCs w:val="20"/>
              </w:rPr>
            </w:pPr>
            <w:r>
              <w:rPr>
                <w:rFonts w:cs="Arial"/>
                <w:bCs/>
                <w:iCs/>
                <w:spacing w:val="-2"/>
                <w:szCs w:val="20"/>
              </w:rPr>
              <w:t>A specific feature of the interdisciplinary programme is team teaching which has the advantage of providing students with a variety of expertise and a number of voices.</w:t>
            </w:r>
          </w:p>
          <w:p w:rsidR="00854BA9" w:rsidRDefault="00854BA9" w:rsidP="00C7144E">
            <w:pPr>
              <w:numPr>
                <w:ilvl w:val="0"/>
                <w:numId w:val="5"/>
              </w:numPr>
              <w:tabs>
                <w:tab w:val="left" w:pos="-720"/>
              </w:tabs>
              <w:suppressAutoHyphens/>
              <w:spacing w:before="90"/>
              <w:rPr>
                <w:rFonts w:cs="Arial"/>
                <w:bCs/>
                <w:iCs/>
                <w:spacing w:val="-2"/>
                <w:szCs w:val="20"/>
              </w:rPr>
            </w:pPr>
            <w:r>
              <w:rPr>
                <w:rFonts w:cs="Arial"/>
                <w:bCs/>
                <w:iCs/>
                <w:spacing w:val="-2"/>
                <w:szCs w:val="20"/>
              </w:rPr>
              <w:t xml:space="preserve">All courses offered by </w:t>
            </w:r>
            <w:r w:rsidR="00DA53E3">
              <w:rPr>
                <w:rFonts w:cs="Arial"/>
              </w:rPr>
              <w:t xml:space="preserve">International Development </w:t>
            </w:r>
            <w:r>
              <w:rPr>
                <w:rFonts w:cs="Arial"/>
                <w:bCs/>
                <w:iCs/>
                <w:spacing w:val="-2"/>
                <w:szCs w:val="20"/>
              </w:rPr>
              <w:t>also hold 1.5 hour weekly seminar classes where every effort is made to ensure that classes have a maximum of 15 students.</w:t>
            </w:r>
          </w:p>
          <w:p w:rsidR="00854BA9" w:rsidRDefault="00854BA9" w:rsidP="00C7144E">
            <w:pPr>
              <w:numPr>
                <w:ilvl w:val="0"/>
                <w:numId w:val="5"/>
              </w:numPr>
              <w:tabs>
                <w:tab w:val="left" w:pos="-720"/>
              </w:tabs>
              <w:suppressAutoHyphens/>
              <w:spacing w:before="90"/>
              <w:rPr>
                <w:rFonts w:cs="Arial"/>
                <w:bCs/>
                <w:iCs/>
                <w:spacing w:val="-2"/>
                <w:szCs w:val="20"/>
              </w:rPr>
            </w:pPr>
            <w:r>
              <w:rPr>
                <w:rFonts w:cs="Arial"/>
                <w:bCs/>
                <w:iCs/>
                <w:spacing w:val="-2"/>
                <w:szCs w:val="20"/>
              </w:rPr>
              <w:t>Each course gives students the opportunity to write and receive detailed written feedback as well as a grade on one formative essay (1500-2000 words) written in answer to specific questions on specific parts of the syllabus. Students are also given a talk about study skills in the Pre-Sessional Induction Workshop and are given advice when it is required by their supervisors.</w:t>
            </w:r>
          </w:p>
          <w:p w:rsidR="00854BA9" w:rsidRDefault="00854BA9" w:rsidP="00C7144E">
            <w:pPr>
              <w:numPr>
                <w:ilvl w:val="0"/>
                <w:numId w:val="5"/>
              </w:numPr>
              <w:tabs>
                <w:tab w:val="left" w:pos="-720"/>
              </w:tabs>
              <w:suppressAutoHyphens/>
              <w:spacing w:before="90"/>
              <w:rPr>
                <w:rFonts w:cs="Arial"/>
                <w:bCs/>
                <w:iCs/>
                <w:spacing w:val="-2"/>
                <w:szCs w:val="20"/>
              </w:rPr>
            </w:pPr>
            <w:r>
              <w:rPr>
                <w:rFonts w:cs="Arial"/>
                <w:bCs/>
                <w:iCs/>
                <w:spacing w:val="-2"/>
                <w:szCs w:val="20"/>
              </w:rPr>
              <w:t xml:space="preserve">All of the courses offered in </w:t>
            </w:r>
            <w:r w:rsidR="00DA53E3">
              <w:rPr>
                <w:rFonts w:cs="Arial"/>
              </w:rPr>
              <w:t>International Development</w:t>
            </w:r>
            <w:r>
              <w:rPr>
                <w:rFonts w:cs="Arial"/>
                <w:bCs/>
                <w:iCs/>
                <w:spacing w:val="-2"/>
                <w:szCs w:val="20"/>
              </w:rPr>
              <w:t xml:space="preserve"> give students at least two to three opportunities to make an oral presentation to small class seminars and to participate in discussion and debate under the guidance of an experienced class teacher.</w:t>
            </w:r>
          </w:p>
          <w:p w:rsidR="00854BA9" w:rsidRDefault="00854BA9" w:rsidP="00C7144E">
            <w:pPr>
              <w:numPr>
                <w:ilvl w:val="0"/>
                <w:numId w:val="5"/>
              </w:numPr>
              <w:tabs>
                <w:tab w:val="left" w:pos="-720"/>
              </w:tabs>
              <w:suppressAutoHyphens/>
              <w:spacing w:before="90"/>
              <w:rPr>
                <w:rFonts w:cs="Arial"/>
                <w:bCs/>
                <w:iCs/>
                <w:spacing w:val="-2"/>
                <w:szCs w:val="20"/>
              </w:rPr>
            </w:pPr>
            <w:r>
              <w:rPr>
                <w:rFonts w:cs="Arial"/>
                <w:bCs/>
                <w:iCs/>
                <w:spacing w:val="-2"/>
                <w:szCs w:val="20"/>
              </w:rPr>
              <w:t>Information on academic staff interests is included in the Student Handbook as well as at Orientation. Students are informed they will be able to sign up to the academic adviser of their choice via Moodle. If there are no spaces left for a specific academic adviser, then students will need to sign up with someone else. Students who fail to sign with anyone, are allocated to an adviser who has available spaces. Advisers all post between 2-3 office hours per week and students can sign up as often as they like to discuss topics related to their research, general issues related to the course, as well as questions, problems or criticisms of the programme.</w:t>
            </w:r>
          </w:p>
          <w:p w:rsidR="00854BA9" w:rsidRDefault="00854BA9" w:rsidP="00C7144E">
            <w:pPr>
              <w:numPr>
                <w:ilvl w:val="0"/>
                <w:numId w:val="5"/>
              </w:numPr>
              <w:tabs>
                <w:tab w:val="left" w:pos="-720"/>
              </w:tabs>
              <w:suppressAutoHyphens/>
              <w:spacing w:before="90"/>
              <w:rPr>
                <w:rFonts w:cs="Arial"/>
                <w:bCs/>
                <w:iCs/>
                <w:spacing w:val="-2"/>
                <w:szCs w:val="20"/>
              </w:rPr>
            </w:pPr>
            <w:r>
              <w:rPr>
                <w:rFonts w:cs="Arial"/>
                <w:bCs/>
                <w:iCs/>
                <w:spacing w:val="-2"/>
                <w:szCs w:val="20"/>
              </w:rPr>
              <w:t>All courses are examined through unseen examinations in the Summer Term and the results of these examinations as well as students dissertations are an important indicator, along with student feedback, external examiners’ reports and alumni surveys. Each exam is evaluated ‘blind’ and independently by two internal examiners. Most courses now contain an element of continuous assessment based on essays submitted, commonly in conjunction with class presentations.</w:t>
            </w:r>
          </w:p>
          <w:p w:rsidR="00854BA9" w:rsidRDefault="00854BA9">
            <w:pPr>
              <w:tabs>
                <w:tab w:val="left" w:pos="-720"/>
              </w:tabs>
              <w:suppressAutoHyphens/>
              <w:rPr>
                <w:rFonts w:cs="Arial"/>
                <w:szCs w:val="20"/>
              </w:rPr>
            </w:pPr>
          </w:p>
        </w:tc>
      </w:tr>
    </w:tbl>
    <w:p w:rsidR="00854BA9" w:rsidRDefault="00854BA9" w:rsidP="00854BA9">
      <w:pPr>
        <w:rPr>
          <w:rFonts w:cs="Arial"/>
          <w:b/>
          <w:bCs/>
          <w:szCs w:val="20"/>
        </w:rPr>
      </w:pPr>
    </w:p>
    <w:p w:rsidR="004946ED" w:rsidRDefault="004946ED" w:rsidP="00854BA9">
      <w:pPr>
        <w:rPr>
          <w:rFonts w:cs="Arial"/>
          <w:b/>
          <w:b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2"/>
      </w:tblGrid>
      <w:tr w:rsidR="00854BA9" w:rsidTr="00854BA9">
        <w:tc>
          <w:tcPr>
            <w:tcW w:w="8522" w:type="dxa"/>
            <w:tcBorders>
              <w:top w:val="single" w:sz="4" w:space="0" w:color="auto"/>
              <w:left w:val="single" w:sz="4" w:space="0" w:color="auto"/>
              <w:bottom w:val="single" w:sz="4" w:space="0" w:color="auto"/>
              <w:right w:val="single" w:sz="4" w:space="0" w:color="auto"/>
            </w:tcBorders>
            <w:hideMark/>
          </w:tcPr>
          <w:p w:rsidR="00854BA9" w:rsidRDefault="00854BA9">
            <w:pPr>
              <w:rPr>
                <w:rFonts w:cs="Arial"/>
                <w:b/>
                <w:bCs/>
                <w:szCs w:val="20"/>
              </w:rPr>
            </w:pPr>
            <w:r>
              <w:rPr>
                <w:rFonts w:cs="Arial"/>
                <w:b/>
                <w:bCs/>
                <w:szCs w:val="20"/>
              </w:rPr>
              <w:t>13. Programme structures and requirements, levels, modules and awards</w:t>
            </w:r>
          </w:p>
        </w:tc>
      </w:tr>
      <w:tr w:rsidR="00854BA9" w:rsidTr="00854BA9">
        <w:tc>
          <w:tcPr>
            <w:tcW w:w="8522" w:type="dxa"/>
            <w:tcBorders>
              <w:top w:val="single" w:sz="4" w:space="0" w:color="auto"/>
              <w:left w:val="single" w:sz="4" w:space="0" w:color="auto"/>
              <w:bottom w:val="single" w:sz="4" w:space="0" w:color="auto"/>
              <w:right w:val="single" w:sz="4" w:space="0" w:color="auto"/>
            </w:tcBorders>
            <w:hideMark/>
          </w:tcPr>
          <w:p w:rsidR="00854BA9" w:rsidRPr="004946ED" w:rsidRDefault="004946ED" w:rsidP="004946ED">
            <w:pPr>
              <w:pStyle w:val="NormalWeb"/>
              <w:rPr>
                <w:rFonts w:ascii="Arial" w:hAnsi="Arial" w:cs="Arial"/>
                <w:sz w:val="20"/>
                <w:szCs w:val="20"/>
              </w:rPr>
            </w:pPr>
            <w:r w:rsidRPr="004946ED">
              <w:rPr>
                <w:rFonts w:ascii="Arial" w:hAnsi="Arial" w:cs="Arial"/>
                <w:sz w:val="20"/>
                <w:szCs w:val="20"/>
              </w:rPr>
              <w:t xml:space="preserve">For further information see </w:t>
            </w:r>
            <w:hyperlink r:id="rId8" w:history="1">
              <w:r w:rsidRPr="004946ED">
                <w:rPr>
                  <w:rStyle w:val="Hyperlink"/>
                  <w:rFonts w:ascii="Arial" w:hAnsi="Arial" w:cs="Arial"/>
                  <w:sz w:val="20"/>
                  <w:szCs w:val="20"/>
                </w:rPr>
                <w:t>MSc International Development and Humanitarian Emergencies</w:t>
              </w:r>
            </w:hyperlink>
            <w:r>
              <w:rPr>
                <w:rFonts w:ascii="Arial" w:hAnsi="Arial" w:cs="Arial"/>
                <w:sz w:val="20"/>
                <w:szCs w:val="20"/>
              </w:rPr>
              <w:t>.</w:t>
            </w:r>
          </w:p>
        </w:tc>
      </w:tr>
    </w:tbl>
    <w:p w:rsidR="00854BA9" w:rsidRDefault="00854BA9" w:rsidP="00854BA9">
      <w:pPr>
        <w:rPr>
          <w:rFonts w:cs="Arial"/>
          <w:b/>
          <w:bCs/>
          <w:szCs w:val="20"/>
        </w:rPr>
      </w:pPr>
    </w:p>
    <w:p w:rsidR="004946ED" w:rsidRDefault="004946ED" w:rsidP="00854BA9">
      <w:pPr>
        <w:rPr>
          <w:rFonts w:cs="Arial"/>
          <w:b/>
          <w:bCs/>
          <w:szCs w:val="20"/>
        </w:rPr>
      </w:pPr>
    </w:p>
    <w:p w:rsidR="004946ED" w:rsidRDefault="004946ED" w:rsidP="00854BA9">
      <w:pPr>
        <w:rPr>
          <w:rFonts w:cs="Arial"/>
          <w:b/>
          <w:bCs/>
          <w:szCs w:val="20"/>
        </w:rPr>
      </w:pPr>
    </w:p>
    <w:p w:rsidR="00854BA9" w:rsidRDefault="00854BA9" w:rsidP="00854BA9">
      <w:pPr>
        <w:rPr>
          <w:rFonts w:cs="Arial"/>
          <w:b/>
          <w:bCs/>
          <w:szCs w:val="20"/>
        </w:rPr>
      </w:pPr>
      <w:r>
        <w:rPr>
          <w:rFonts w:cs="Arial"/>
          <w:b/>
          <w:bCs/>
          <w:szCs w:val="20"/>
        </w:rPr>
        <w:t>Additional information</w:t>
      </w:r>
    </w:p>
    <w:p w:rsidR="00854BA9" w:rsidRDefault="00854BA9" w:rsidP="00854BA9">
      <w:pPr>
        <w:rPr>
          <w:rFonts w:cs="Arial"/>
          <w:b/>
          <w:bCs/>
          <w:szCs w:val="20"/>
        </w:rPr>
      </w:pPr>
    </w:p>
    <w:p w:rsidR="004946ED" w:rsidRDefault="004946ED" w:rsidP="00854BA9">
      <w:pPr>
        <w:rPr>
          <w:rFonts w:cs="Arial"/>
          <w:b/>
          <w:b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2"/>
      </w:tblGrid>
      <w:tr w:rsidR="00854BA9" w:rsidTr="00854BA9">
        <w:tc>
          <w:tcPr>
            <w:tcW w:w="8522" w:type="dxa"/>
            <w:tcBorders>
              <w:top w:val="single" w:sz="4" w:space="0" w:color="auto"/>
              <w:left w:val="single" w:sz="4" w:space="0" w:color="auto"/>
              <w:bottom w:val="single" w:sz="4" w:space="0" w:color="auto"/>
              <w:right w:val="single" w:sz="4" w:space="0" w:color="auto"/>
            </w:tcBorders>
            <w:hideMark/>
          </w:tcPr>
          <w:p w:rsidR="00854BA9" w:rsidRDefault="00854BA9">
            <w:pPr>
              <w:rPr>
                <w:rFonts w:cs="Arial"/>
                <w:b/>
                <w:bCs/>
                <w:szCs w:val="20"/>
              </w:rPr>
            </w:pPr>
            <w:r>
              <w:rPr>
                <w:rFonts w:cs="Arial"/>
                <w:b/>
                <w:bCs/>
                <w:szCs w:val="20"/>
              </w:rPr>
              <w:t>14. Criteria for admission to the programme</w:t>
            </w:r>
          </w:p>
        </w:tc>
      </w:tr>
      <w:tr w:rsidR="00854BA9" w:rsidTr="00854BA9">
        <w:tc>
          <w:tcPr>
            <w:tcW w:w="8522" w:type="dxa"/>
            <w:tcBorders>
              <w:top w:val="single" w:sz="4" w:space="0" w:color="auto"/>
              <w:left w:val="single" w:sz="4" w:space="0" w:color="auto"/>
              <w:bottom w:val="single" w:sz="4" w:space="0" w:color="auto"/>
              <w:right w:val="single" w:sz="4" w:space="0" w:color="auto"/>
            </w:tcBorders>
          </w:tcPr>
          <w:p w:rsidR="00854BA9" w:rsidRDefault="00854BA9">
            <w:pPr>
              <w:tabs>
                <w:tab w:val="left" w:pos="-720"/>
                <w:tab w:val="left" w:pos="0"/>
              </w:tabs>
              <w:suppressAutoHyphens/>
              <w:jc w:val="both"/>
              <w:rPr>
                <w:rFonts w:cs="Arial"/>
                <w:i/>
                <w:spacing w:val="-2"/>
                <w:szCs w:val="20"/>
              </w:rPr>
            </w:pPr>
          </w:p>
          <w:p w:rsidR="00854BA9" w:rsidRDefault="00854BA9">
            <w:pPr>
              <w:tabs>
                <w:tab w:val="left" w:pos="-720"/>
                <w:tab w:val="left" w:pos="0"/>
              </w:tabs>
              <w:suppressAutoHyphens/>
              <w:jc w:val="both"/>
              <w:rPr>
                <w:rFonts w:cs="Arial"/>
                <w:szCs w:val="20"/>
              </w:rPr>
            </w:pPr>
            <w:r>
              <w:rPr>
                <w:rFonts w:cs="Arial"/>
                <w:szCs w:val="20"/>
              </w:rPr>
              <w:t>Applicants with a background in any subject will be considered, although a first degree in a social science or humanities subject would be an advantage. It is usually required that students should have at least good upper second class honours or a GPA of 3.5 or above; but these requirements may be relaxed for candidates with significant, relevant professional experience.</w:t>
            </w:r>
          </w:p>
          <w:p w:rsidR="004946ED" w:rsidRDefault="004946ED">
            <w:pPr>
              <w:tabs>
                <w:tab w:val="left" w:pos="-720"/>
                <w:tab w:val="left" w:pos="0"/>
              </w:tabs>
              <w:suppressAutoHyphens/>
              <w:jc w:val="both"/>
              <w:rPr>
                <w:rFonts w:cs="Arial"/>
                <w:szCs w:val="20"/>
              </w:rPr>
            </w:pPr>
          </w:p>
        </w:tc>
      </w:tr>
    </w:tbl>
    <w:p w:rsidR="00854BA9" w:rsidRDefault="00854BA9" w:rsidP="00854BA9">
      <w:pPr>
        <w:rPr>
          <w:rFonts w:cs="Arial"/>
          <w:b/>
          <w:bCs/>
          <w:szCs w:val="20"/>
        </w:rPr>
      </w:pPr>
    </w:p>
    <w:p w:rsidR="004946ED" w:rsidRDefault="004946ED" w:rsidP="00854BA9">
      <w:pPr>
        <w:rPr>
          <w:rFonts w:cs="Arial"/>
          <w:b/>
          <w:b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2"/>
      </w:tblGrid>
      <w:tr w:rsidR="00854BA9" w:rsidTr="00854BA9">
        <w:tc>
          <w:tcPr>
            <w:tcW w:w="8522" w:type="dxa"/>
            <w:tcBorders>
              <w:top w:val="single" w:sz="4" w:space="0" w:color="auto"/>
              <w:left w:val="single" w:sz="4" w:space="0" w:color="auto"/>
              <w:bottom w:val="single" w:sz="4" w:space="0" w:color="auto"/>
              <w:right w:val="single" w:sz="4" w:space="0" w:color="auto"/>
            </w:tcBorders>
            <w:hideMark/>
          </w:tcPr>
          <w:p w:rsidR="00854BA9" w:rsidRDefault="00854BA9">
            <w:pPr>
              <w:rPr>
                <w:rFonts w:cs="Arial"/>
                <w:b/>
                <w:bCs/>
                <w:szCs w:val="20"/>
              </w:rPr>
            </w:pPr>
            <w:r>
              <w:rPr>
                <w:rFonts w:cs="Arial"/>
                <w:b/>
                <w:bCs/>
                <w:szCs w:val="20"/>
              </w:rPr>
              <w:t>15. Indicators of quality</w:t>
            </w:r>
          </w:p>
        </w:tc>
      </w:tr>
      <w:tr w:rsidR="00854BA9" w:rsidTr="00854BA9">
        <w:tc>
          <w:tcPr>
            <w:tcW w:w="8522" w:type="dxa"/>
            <w:tcBorders>
              <w:top w:val="single" w:sz="4" w:space="0" w:color="auto"/>
              <w:left w:val="single" w:sz="4" w:space="0" w:color="auto"/>
              <w:bottom w:val="single" w:sz="4" w:space="0" w:color="auto"/>
              <w:right w:val="single" w:sz="4" w:space="0" w:color="auto"/>
            </w:tcBorders>
          </w:tcPr>
          <w:p w:rsidR="004946ED" w:rsidRDefault="004946ED"/>
          <w:p w:rsidR="00854BA9" w:rsidRDefault="00854BA9">
            <w:r>
              <w:t xml:space="preserve">Quality is regularly assessed through centrally administered teaching evaluation at the end of each course; and in addition </w:t>
            </w:r>
            <w:r w:rsidR="00DA53E3">
              <w:rPr>
                <w:rFonts w:cs="Arial"/>
              </w:rPr>
              <w:t>International Development</w:t>
            </w:r>
            <w:r>
              <w:t xml:space="preserve"> conducts its own mid-term evaluations covering the same terrain, and to provide more specific feedback. The results of the centrally administered TQARO exercises show that between 2006/07 and 2008/09 the general level of teaching in the programme has been consistently higher than “very good”. External Examiners reports attest to both the quality of the curriculum, by comparison with other institutions, and the quality of the work done by students. For example, the External Examiner for MSc Development Management stated in his latest report “I have nothing but praise for the programme….You should be very proud”.  </w:t>
            </w:r>
          </w:p>
          <w:p w:rsidR="00854BA9" w:rsidRDefault="00854BA9"/>
          <w:p w:rsidR="00854BA9" w:rsidRDefault="00DA53E3">
            <w:r>
              <w:rPr>
                <w:rFonts w:cs="Arial"/>
              </w:rPr>
              <w:t>International Development</w:t>
            </w:r>
            <w:r>
              <w:rPr>
                <w:rFonts w:cs="Arial"/>
              </w:rPr>
              <w:t xml:space="preserve"> is</w:t>
            </w:r>
            <w:r w:rsidR="00854BA9">
              <w:t xml:space="preserve"> very oversubscribed for their current offering of MSc programmes:</w:t>
            </w:r>
          </w:p>
          <w:p w:rsidR="00854BA9" w:rsidRDefault="00854BA9" w:rsidP="00C7144E">
            <w:pPr>
              <w:numPr>
                <w:ilvl w:val="0"/>
                <w:numId w:val="6"/>
              </w:numPr>
            </w:pPr>
            <w:r>
              <w:t>MSc Development Management (3.6:1)</w:t>
            </w:r>
          </w:p>
          <w:p w:rsidR="00854BA9" w:rsidRDefault="00854BA9" w:rsidP="00C7144E">
            <w:pPr>
              <w:numPr>
                <w:ilvl w:val="0"/>
                <w:numId w:val="6"/>
              </w:numPr>
            </w:pPr>
            <w:r>
              <w:t>MSc Development Studies (5.1)</w:t>
            </w:r>
          </w:p>
          <w:p w:rsidR="00854BA9" w:rsidRDefault="00854BA9">
            <w:pPr>
              <w:ind w:left="360"/>
            </w:pPr>
          </w:p>
          <w:p w:rsidR="00854BA9" w:rsidRDefault="00854BA9">
            <w:r>
              <w:t>MSc Development Management</w:t>
            </w:r>
            <w:r>
              <w:tab/>
              <w:t>2005</w:t>
            </w:r>
            <w:r>
              <w:tab/>
              <w:t>2006</w:t>
            </w:r>
            <w:r>
              <w:tab/>
              <w:t>2007</w:t>
            </w:r>
            <w:r>
              <w:tab/>
              <w:t>2008</w:t>
            </w:r>
            <w:r>
              <w:tab/>
              <w:t>2009</w:t>
            </w:r>
            <w:r>
              <w:tab/>
            </w:r>
          </w:p>
          <w:p w:rsidR="00854BA9" w:rsidRDefault="00854BA9">
            <w:r>
              <w:t>All Applications (1 + 2 choice)</w:t>
            </w:r>
            <w:r>
              <w:tab/>
              <w:t>510</w:t>
            </w:r>
            <w:r>
              <w:tab/>
              <w:t>526</w:t>
            </w:r>
            <w:r>
              <w:tab/>
              <w:t>539</w:t>
            </w:r>
            <w:r>
              <w:tab/>
              <w:t>476</w:t>
            </w:r>
            <w:r>
              <w:tab/>
              <w:t>505</w:t>
            </w:r>
            <w:r>
              <w:tab/>
            </w:r>
          </w:p>
          <w:p w:rsidR="00854BA9" w:rsidRDefault="00854BA9">
            <w:r>
              <w:t>Actual registrations</w:t>
            </w:r>
            <w:r>
              <w:tab/>
              <w:t xml:space="preserve">               82</w:t>
            </w:r>
            <w:r>
              <w:tab/>
              <w:t>69</w:t>
            </w:r>
            <w:r>
              <w:tab/>
              <w:t>75</w:t>
            </w:r>
            <w:r>
              <w:tab/>
              <w:t>77</w:t>
            </w:r>
            <w:r>
              <w:tab/>
              <w:t>72</w:t>
            </w:r>
            <w:r>
              <w:tab/>
            </w:r>
          </w:p>
          <w:p w:rsidR="00854BA9" w:rsidRDefault="00854BA9">
            <w:r>
              <w:t>Over/undershoot</w:t>
            </w:r>
            <w:r>
              <w:tab/>
              <w:t xml:space="preserve">               16</w:t>
            </w:r>
            <w:r>
              <w:tab/>
              <w:t>-2</w:t>
            </w:r>
            <w:r>
              <w:tab/>
              <w:t>4</w:t>
            </w:r>
            <w:r>
              <w:tab/>
              <w:t>-3</w:t>
            </w:r>
            <w:r>
              <w:tab/>
              <w:t>-8</w:t>
            </w:r>
            <w:r>
              <w:tab/>
            </w:r>
          </w:p>
          <w:p w:rsidR="00854BA9" w:rsidRDefault="00854BA9">
            <w:r>
              <w:t>Demand</w:t>
            </w:r>
            <w:r>
              <w:tab/>
              <w:t xml:space="preserve">                           3.8</w:t>
            </w:r>
            <w:r>
              <w:tab/>
              <w:t>4.2</w:t>
            </w:r>
            <w:r>
              <w:tab/>
              <w:t>3.75</w:t>
            </w:r>
            <w:r>
              <w:tab/>
              <w:t>3.6</w:t>
            </w:r>
            <w:r>
              <w:tab/>
              <w:t>3.6</w:t>
            </w:r>
            <w:r>
              <w:tab/>
            </w:r>
          </w:p>
          <w:p w:rsidR="00854BA9" w:rsidRDefault="00854BA9">
            <w:r>
              <w:tab/>
            </w:r>
            <w:r>
              <w:tab/>
            </w:r>
            <w:r>
              <w:tab/>
            </w:r>
            <w:r>
              <w:tab/>
            </w:r>
            <w:r>
              <w:tab/>
            </w:r>
            <w:r>
              <w:tab/>
              <w:t>3.79 average demand</w:t>
            </w:r>
          </w:p>
          <w:p w:rsidR="00854BA9" w:rsidRDefault="00854BA9">
            <w:r>
              <w:tab/>
            </w:r>
            <w:r>
              <w:tab/>
            </w:r>
            <w:r>
              <w:tab/>
            </w:r>
            <w:r>
              <w:tab/>
            </w:r>
            <w:r>
              <w:tab/>
            </w:r>
            <w:r>
              <w:tab/>
            </w:r>
          </w:p>
          <w:p w:rsidR="00854BA9" w:rsidRDefault="00854BA9">
            <w:r>
              <w:t>MSc Development Studies</w:t>
            </w:r>
            <w:r>
              <w:tab/>
              <w:t>2005</w:t>
            </w:r>
            <w:r>
              <w:tab/>
              <w:t>2006</w:t>
            </w:r>
            <w:r>
              <w:tab/>
              <w:t>2007</w:t>
            </w:r>
            <w:r>
              <w:tab/>
              <w:t>2008</w:t>
            </w:r>
            <w:r>
              <w:tab/>
              <w:t>2009</w:t>
            </w:r>
            <w:r>
              <w:tab/>
            </w:r>
          </w:p>
          <w:p w:rsidR="00854BA9" w:rsidRDefault="00854BA9">
            <w:r>
              <w:t>All Applications (1 + 2 choice)</w:t>
            </w:r>
            <w:r>
              <w:tab/>
              <w:t>832</w:t>
            </w:r>
            <w:r>
              <w:tab/>
              <w:t>802</w:t>
            </w:r>
            <w:r>
              <w:tab/>
              <w:t>784</w:t>
            </w:r>
            <w:r>
              <w:tab/>
              <w:t>773</w:t>
            </w:r>
            <w:r>
              <w:tab/>
              <w:t>828</w:t>
            </w:r>
            <w:r>
              <w:tab/>
            </w:r>
          </w:p>
          <w:p w:rsidR="00854BA9" w:rsidRDefault="00854BA9">
            <w:r>
              <w:t>Actual registrations</w:t>
            </w:r>
            <w:r>
              <w:tab/>
              <w:t xml:space="preserve">              78</w:t>
            </w:r>
            <w:r>
              <w:tab/>
              <w:t>81</w:t>
            </w:r>
            <w:r>
              <w:tab/>
              <w:t>92</w:t>
            </w:r>
            <w:r>
              <w:tab/>
              <w:t>107</w:t>
            </w:r>
            <w:r>
              <w:tab/>
              <w:t>105</w:t>
            </w:r>
            <w:r>
              <w:tab/>
            </w:r>
          </w:p>
          <w:p w:rsidR="00854BA9" w:rsidRDefault="00854BA9">
            <w:r>
              <w:t>Over/undershoot</w:t>
            </w:r>
            <w:r>
              <w:tab/>
              <w:t xml:space="preserve">                6</w:t>
            </w:r>
            <w:r>
              <w:tab/>
              <w:t>2</w:t>
            </w:r>
            <w:r>
              <w:tab/>
              <w:t>13</w:t>
            </w:r>
            <w:r>
              <w:tab/>
              <w:t>19</w:t>
            </w:r>
            <w:r>
              <w:tab/>
              <w:t>17</w:t>
            </w:r>
            <w:r>
              <w:tab/>
            </w:r>
          </w:p>
          <w:p w:rsidR="00854BA9" w:rsidRDefault="00854BA9">
            <w:r>
              <w:t>Demand</w:t>
            </w:r>
            <w:r>
              <w:tab/>
              <w:t xml:space="preserve">                        6.45</w:t>
            </w:r>
            <w:r>
              <w:tab/>
              <w:t>5.55</w:t>
            </w:r>
            <w:r>
              <w:tab/>
              <w:t>5.75</w:t>
            </w:r>
            <w:r>
              <w:tab/>
              <w:t>5.05</w:t>
            </w:r>
            <w:r>
              <w:tab/>
              <w:t>5</w:t>
            </w:r>
            <w:r>
              <w:tab/>
            </w:r>
          </w:p>
          <w:p w:rsidR="00854BA9" w:rsidRDefault="00854BA9">
            <w:r>
              <w:tab/>
            </w:r>
            <w:r>
              <w:tab/>
            </w:r>
            <w:r>
              <w:tab/>
            </w:r>
            <w:r>
              <w:tab/>
            </w:r>
            <w:r>
              <w:tab/>
            </w:r>
            <w:r>
              <w:tab/>
              <w:t>5.56 average demand</w:t>
            </w:r>
          </w:p>
          <w:p w:rsidR="00854BA9" w:rsidRDefault="00854BA9" w:rsidP="004946ED">
            <w:pPr>
              <w:rPr>
                <w:rFonts w:cs="Arial"/>
                <w:szCs w:val="20"/>
              </w:rPr>
            </w:pPr>
            <w:r>
              <w:tab/>
            </w:r>
            <w:r>
              <w:tab/>
            </w:r>
            <w:r>
              <w:tab/>
            </w:r>
            <w:r>
              <w:tab/>
            </w:r>
            <w:r>
              <w:tab/>
            </w:r>
          </w:p>
        </w:tc>
      </w:tr>
    </w:tbl>
    <w:p w:rsidR="00854BA9" w:rsidRDefault="00854BA9" w:rsidP="00854BA9">
      <w:pPr>
        <w:rPr>
          <w:rFonts w:cs="Arial"/>
          <w:b/>
          <w:bCs/>
          <w:szCs w:val="20"/>
        </w:rPr>
      </w:pPr>
    </w:p>
    <w:p w:rsidR="004946ED" w:rsidRDefault="004946ED" w:rsidP="00854BA9">
      <w:pPr>
        <w:rPr>
          <w:rFonts w:cs="Arial"/>
          <w:b/>
          <w:b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2"/>
      </w:tblGrid>
      <w:tr w:rsidR="00854BA9" w:rsidTr="00854BA9">
        <w:tc>
          <w:tcPr>
            <w:tcW w:w="8522" w:type="dxa"/>
            <w:tcBorders>
              <w:top w:val="single" w:sz="4" w:space="0" w:color="auto"/>
              <w:left w:val="single" w:sz="4" w:space="0" w:color="auto"/>
              <w:bottom w:val="single" w:sz="4" w:space="0" w:color="auto"/>
              <w:right w:val="single" w:sz="4" w:space="0" w:color="auto"/>
            </w:tcBorders>
            <w:hideMark/>
          </w:tcPr>
          <w:p w:rsidR="00854BA9" w:rsidRDefault="00854BA9">
            <w:pPr>
              <w:rPr>
                <w:rFonts w:cs="Arial"/>
                <w:b/>
                <w:bCs/>
                <w:szCs w:val="20"/>
              </w:rPr>
            </w:pPr>
            <w:r>
              <w:rPr>
                <w:rFonts w:cs="Arial"/>
                <w:b/>
                <w:bCs/>
                <w:szCs w:val="20"/>
              </w:rPr>
              <w:t>16. Methods for evaluating and improving the quality and standard of teaching and learning</w:t>
            </w:r>
          </w:p>
        </w:tc>
      </w:tr>
      <w:tr w:rsidR="00854BA9" w:rsidTr="00854BA9">
        <w:tc>
          <w:tcPr>
            <w:tcW w:w="8522" w:type="dxa"/>
            <w:tcBorders>
              <w:top w:val="single" w:sz="4" w:space="0" w:color="auto"/>
              <w:left w:val="single" w:sz="4" w:space="0" w:color="auto"/>
              <w:bottom w:val="single" w:sz="4" w:space="0" w:color="auto"/>
              <w:right w:val="single" w:sz="4" w:space="0" w:color="auto"/>
            </w:tcBorders>
            <w:hideMark/>
          </w:tcPr>
          <w:p w:rsidR="004946ED" w:rsidRDefault="004946ED">
            <w:pPr>
              <w:rPr>
                <w:rFonts w:cs="Arial"/>
                <w:szCs w:val="20"/>
              </w:rPr>
            </w:pPr>
          </w:p>
          <w:p w:rsidR="00854BA9" w:rsidRDefault="00854BA9">
            <w:pPr>
              <w:rPr>
                <w:rFonts w:cs="Arial"/>
                <w:szCs w:val="20"/>
              </w:rPr>
            </w:pPr>
            <w:r>
              <w:rPr>
                <w:rFonts w:cs="Arial"/>
                <w:szCs w:val="20"/>
              </w:rPr>
              <w:t xml:space="preserve">Teaching quality is regularly assessed both by the centrally administered TQA and by the Institute’s own evaluations. The Student-Staff Liaison Committee is another conduit for regular feedback from students. The curriculum is subject to annual review by External Examiners and through regular review by members of staff in </w:t>
            </w:r>
            <w:r w:rsidR="00DA53E3">
              <w:rPr>
                <w:rFonts w:cs="Arial"/>
              </w:rPr>
              <w:t>International Development</w:t>
            </w:r>
            <w:r>
              <w:rPr>
                <w:rFonts w:cs="Arial"/>
                <w:szCs w:val="20"/>
              </w:rPr>
              <w:t xml:space="preserve">. Methods of assessment are similarly reviewed by External Examiners and by the </w:t>
            </w:r>
            <w:r w:rsidR="00DA53E3">
              <w:rPr>
                <w:rFonts w:cs="Arial"/>
              </w:rPr>
              <w:t>International Development</w:t>
            </w:r>
            <w:r>
              <w:rPr>
                <w:rFonts w:cs="Arial"/>
                <w:szCs w:val="20"/>
              </w:rPr>
              <w:t xml:space="preserve"> faculty. </w:t>
            </w:r>
          </w:p>
          <w:p w:rsidR="004946ED" w:rsidRDefault="004946ED">
            <w:pPr>
              <w:rPr>
                <w:rFonts w:cs="Arial"/>
                <w:szCs w:val="20"/>
              </w:rPr>
            </w:pPr>
          </w:p>
          <w:p w:rsidR="004946ED" w:rsidRDefault="004946ED" w:rsidP="004946ED">
            <w:pPr>
              <w:tabs>
                <w:tab w:val="left" w:pos="-720"/>
                <w:tab w:val="left" w:pos="0"/>
              </w:tabs>
              <w:suppressAutoHyphens/>
              <w:jc w:val="both"/>
              <w:rPr>
                <w:rFonts w:cs="Arial"/>
                <w:szCs w:val="20"/>
              </w:rPr>
            </w:pPr>
            <w:r>
              <w:rPr>
                <w:rFonts w:cs="Arial"/>
                <w:szCs w:val="20"/>
              </w:rPr>
              <w:t xml:space="preserve">School </w:t>
            </w:r>
            <w:r w:rsidRPr="002B6ED3">
              <w:rPr>
                <w:rFonts w:cs="Arial"/>
                <w:szCs w:val="20"/>
              </w:rPr>
              <w:t>quality assurance processes</w:t>
            </w:r>
            <w:r>
              <w:rPr>
                <w:rFonts w:cs="Arial"/>
                <w:szCs w:val="20"/>
              </w:rPr>
              <w:t xml:space="preserve"> include:</w:t>
            </w:r>
          </w:p>
          <w:p w:rsidR="004946ED" w:rsidRDefault="004946ED" w:rsidP="004946ED">
            <w:pPr>
              <w:tabs>
                <w:tab w:val="left" w:pos="-720"/>
                <w:tab w:val="left" w:pos="0"/>
              </w:tabs>
              <w:suppressAutoHyphens/>
              <w:jc w:val="both"/>
              <w:rPr>
                <w:rFonts w:cs="Arial"/>
                <w:szCs w:val="20"/>
              </w:rPr>
            </w:pPr>
          </w:p>
          <w:p w:rsidR="00DA53E3" w:rsidRDefault="00DA53E3" w:rsidP="00DA53E3">
            <w:pPr>
              <w:tabs>
                <w:tab w:val="left" w:pos="-720"/>
                <w:tab w:val="left" w:pos="0"/>
              </w:tabs>
              <w:suppressAutoHyphens/>
              <w:ind w:left="720"/>
              <w:rPr>
                <w:rFonts w:cs="Arial"/>
                <w:szCs w:val="20"/>
              </w:rPr>
            </w:pPr>
          </w:p>
          <w:p w:rsidR="004946ED" w:rsidRPr="002B6ED3" w:rsidRDefault="004946ED" w:rsidP="004946ED">
            <w:pPr>
              <w:numPr>
                <w:ilvl w:val="0"/>
                <w:numId w:val="7"/>
              </w:numPr>
              <w:tabs>
                <w:tab w:val="left" w:pos="-720"/>
                <w:tab w:val="left" w:pos="0"/>
              </w:tabs>
              <w:suppressAutoHyphens/>
              <w:rPr>
                <w:rFonts w:cs="Arial"/>
                <w:szCs w:val="20"/>
              </w:rPr>
            </w:pPr>
            <w:r w:rsidRPr="002B6ED3">
              <w:rPr>
                <w:rFonts w:cs="Arial"/>
                <w:szCs w:val="20"/>
              </w:rPr>
              <w:t>regular staff appraisal and review;</w:t>
            </w:r>
          </w:p>
          <w:p w:rsidR="004946ED" w:rsidRDefault="004946ED" w:rsidP="004946ED">
            <w:pPr>
              <w:numPr>
                <w:ilvl w:val="0"/>
                <w:numId w:val="7"/>
              </w:numPr>
              <w:tabs>
                <w:tab w:val="left" w:pos="-720"/>
                <w:tab w:val="left" w:pos="0"/>
              </w:tabs>
              <w:suppressAutoHyphens/>
              <w:rPr>
                <w:rFonts w:cs="Arial"/>
                <w:szCs w:val="20"/>
              </w:rPr>
            </w:pPr>
            <w:r w:rsidRPr="002B6ED3">
              <w:rPr>
                <w:rFonts w:cs="Arial"/>
                <w:szCs w:val="20"/>
              </w:rPr>
              <w:t>improvements in teaching technique are effected by the Teaching and Learning Centre (TLC) through observations, advice and further training;</w:t>
            </w:r>
          </w:p>
          <w:p w:rsidR="004946ED" w:rsidRPr="002B6ED3" w:rsidRDefault="004946ED" w:rsidP="004946ED">
            <w:pPr>
              <w:numPr>
                <w:ilvl w:val="0"/>
                <w:numId w:val="7"/>
              </w:numPr>
              <w:tabs>
                <w:tab w:val="left" w:pos="-720"/>
                <w:tab w:val="left" w:pos="0"/>
              </w:tabs>
              <w:suppressAutoHyphens/>
              <w:rPr>
                <w:rFonts w:cs="Arial"/>
                <w:szCs w:val="20"/>
              </w:rPr>
            </w:pPr>
            <w:bookmarkStart w:id="0" w:name="_GoBack"/>
            <w:bookmarkEnd w:id="0"/>
            <w:r w:rsidRPr="002B6ED3">
              <w:rPr>
                <w:rFonts w:cs="Arial"/>
                <w:szCs w:val="20"/>
              </w:rPr>
              <w:t>induction programme and mentoring scheme for new members of staff;</w:t>
            </w:r>
          </w:p>
          <w:p w:rsidR="004946ED" w:rsidRPr="002B6ED3" w:rsidRDefault="004946ED" w:rsidP="004946ED">
            <w:pPr>
              <w:numPr>
                <w:ilvl w:val="0"/>
                <w:numId w:val="7"/>
              </w:numPr>
              <w:tabs>
                <w:tab w:val="left" w:pos="-720"/>
                <w:tab w:val="left" w:pos="0"/>
              </w:tabs>
              <w:suppressAutoHyphens/>
              <w:rPr>
                <w:rFonts w:cs="Arial"/>
                <w:szCs w:val="20"/>
              </w:rPr>
            </w:pPr>
            <w:r w:rsidRPr="002B6ED3">
              <w:rPr>
                <w:rFonts w:cs="Arial"/>
                <w:szCs w:val="20"/>
              </w:rPr>
              <w:t>Staff/student liaison committee;</w:t>
            </w:r>
          </w:p>
          <w:p w:rsidR="004946ED" w:rsidRPr="002B6ED3" w:rsidRDefault="004946ED" w:rsidP="004946ED">
            <w:pPr>
              <w:numPr>
                <w:ilvl w:val="0"/>
                <w:numId w:val="7"/>
              </w:numPr>
              <w:tabs>
                <w:tab w:val="left" w:pos="-720"/>
                <w:tab w:val="left" w:pos="0"/>
              </w:tabs>
              <w:suppressAutoHyphens/>
              <w:rPr>
                <w:rFonts w:cs="Arial"/>
                <w:szCs w:val="20"/>
              </w:rPr>
            </w:pPr>
            <w:r w:rsidRPr="002B6ED3">
              <w:rPr>
                <w:rFonts w:cs="Arial"/>
                <w:szCs w:val="20"/>
              </w:rPr>
              <w:t>centrally administered student satisfaction questionnaires by the Teaching Quality Assurance and Review Office;</w:t>
            </w:r>
          </w:p>
          <w:p w:rsidR="004946ED" w:rsidRPr="002B6ED3" w:rsidRDefault="004946ED" w:rsidP="004946ED">
            <w:pPr>
              <w:numPr>
                <w:ilvl w:val="0"/>
                <w:numId w:val="7"/>
              </w:numPr>
              <w:tabs>
                <w:tab w:val="left" w:pos="-720"/>
                <w:tab w:val="left" w:pos="0"/>
              </w:tabs>
              <w:suppressAutoHyphens/>
              <w:rPr>
                <w:rFonts w:cs="Arial"/>
                <w:szCs w:val="20"/>
              </w:rPr>
            </w:pPr>
            <w:r w:rsidRPr="002B6ED3">
              <w:rPr>
                <w:rFonts w:cs="Arial"/>
                <w:szCs w:val="20"/>
              </w:rPr>
              <w:t>an improved system for ensuring that External Examiner’s comments/recommendations are fed through to Departments and acted upon;</w:t>
            </w:r>
          </w:p>
          <w:p w:rsidR="004946ED" w:rsidRPr="002B6ED3" w:rsidRDefault="004946ED" w:rsidP="004946ED">
            <w:pPr>
              <w:numPr>
                <w:ilvl w:val="0"/>
                <w:numId w:val="7"/>
              </w:numPr>
              <w:tabs>
                <w:tab w:val="left" w:pos="-720"/>
                <w:tab w:val="left" w:pos="0"/>
              </w:tabs>
              <w:suppressAutoHyphens/>
              <w:rPr>
                <w:rFonts w:cs="Arial"/>
                <w:szCs w:val="20"/>
              </w:rPr>
            </w:pPr>
            <w:r w:rsidRPr="002B6ED3">
              <w:rPr>
                <w:rFonts w:cs="Arial"/>
                <w:szCs w:val="20"/>
              </w:rPr>
              <w:t>the School’s Teaching, Learning and Assessment Committee (TLAC) which regulates all aspects of teaching quality;</w:t>
            </w:r>
          </w:p>
          <w:p w:rsidR="004946ED" w:rsidRPr="002B6ED3" w:rsidRDefault="004946ED" w:rsidP="004946ED">
            <w:pPr>
              <w:numPr>
                <w:ilvl w:val="0"/>
                <w:numId w:val="7"/>
              </w:numPr>
              <w:tabs>
                <w:tab w:val="left" w:pos="-720"/>
                <w:tab w:val="left" w:pos="0"/>
              </w:tabs>
              <w:suppressAutoHyphens/>
              <w:rPr>
                <w:rFonts w:cs="Arial"/>
                <w:szCs w:val="20"/>
              </w:rPr>
            </w:pPr>
            <w:r w:rsidRPr="002B6ED3">
              <w:rPr>
                <w:rFonts w:cs="Arial"/>
                <w:szCs w:val="20"/>
              </w:rPr>
              <w:t>annual monitoring of courses and periodic reviews every 3-5 years. The outcomes of the annual reviews are presented to TLAC;</w:t>
            </w:r>
          </w:p>
          <w:p w:rsidR="004946ED" w:rsidRPr="002B6ED3" w:rsidRDefault="004946ED" w:rsidP="004946ED">
            <w:pPr>
              <w:numPr>
                <w:ilvl w:val="0"/>
                <w:numId w:val="7"/>
              </w:numPr>
              <w:tabs>
                <w:tab w:val="left" w:pos="-720"/>
                <w:tab w:val="left" w:pos="0"/>
              </w:tabs>
              <w:suppressAutoHyphens/>
              <w:rPr>
                <w:rFonts w:cs="Arial"/>
                <w:szCs w:val="20"/>
              </w:rPr>
            </w:pPr>
            <w:r w:rsidRPr="002B6ED3">
              <w:rPr>
                <w:rFonts w:cs="Arial"/>
                <w:szCs w:val="20"/>
              </w:rPr>
              <w:t>the School’s Undergraduate Studies Sub Committee and Graduate Studies Sub Committee which oversee all taught programmes and ensure that significant changes to programmes and courses pass through a sequence of formal stages to ensure that curricular changes are appropriate and compatible with other developments.</w:t>
            </w:r>
          </w:p>
          <w:p w:rsidR="004946ED" w:rsidRDefault="004946ED">
            <w:pPr>
              <w:rPr>
                <w:rFonts w:cs="Arial"/>
                <w:szCs w:val="20"/>
              </w:rPr>
            </w:pPr>
          </w:p>
        </w:tc>
      </w:tr>
    </w:tbl>
    <w:p w:rsidR="00172B82" w:rsidRDefault="00172B82"/>
    <w:sectPr w:rsidR="00172B82" w:rsidSect="009D32AA">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4BA9" w:rsidRDefault="00854BA9" w:rsidP="00854BA9">
      <w:r>
        <w:separator/>
      </w:r>
    </w:p>
  </w:endnote>
  <w:endnote w:type="continuationSeparator" w:id="0">
    <w:p w:rsidR="00854BA9" w:rsidRDefault="00854BA9" w:rsidP="00854B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Arial Bold">
    <w:panose1 w:val="020B07040202020202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4BA9" w:rsidRDefault="00854BA9" w:rsidP="00854BA9">
      <w:r>
        <w:separator/>
      </w:r>
    </w:p>
  </w:footnote>
  <w:footnote w:type="continuationSeparator" w:id="0">
    <w:p w:rsidR="00854BA9" w:rsidRDefault="00854BA9" w:rsidP="00854BA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A22940"/>
    <w:multiLevelType w:val="multilevel"/>
    <w:tmpl w:val="5F8E6446"/>
    <w:lvl w:ilvl="0">
      <w:start w:val="3"/>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1EC060AB"/>
    <w:multiLevelType w:val="multilevel"/>
    <w:tmpl w:val="8DA2E49C"/>
    <w:lvl w:ilvl="0">
      <w:start w:val="7"/>
      <w:numFmt w:val="decimal"/>
      <w:lvlText w:val="%1"/>
      <w:lvlJc w:val="left"/>
      <w:pPr>
        <w:tabs>
          <w:tab w:val="num" w:pos="360"/>
        </w:tabs>
        <w:ind w:left="360" w:hanging="360"/>
      </w:pPr>
    </w:lvl>
    <w:lvl w:ilvl="1">
      <w:start w:val="3"/>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nsid w:val="252E06D8"/>
    <w:multiLevelType w:val="hybridMultilevel"/>
    <w:tmpl w:val="9D22B1F0"/>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3">
    <w:nsid w:val="28C4300F"/>
    <w:multiLevelType w:val="hybridMultilevel"/>
    <w:tmpl w:val="CCE88650"/>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4">
    <w:nsid w:val="406644BF"/>
    <w:multiLevelType w:val="hybridMultilevel"/>
    <w:tmpl w:val="D4FEA70C"/>
    <w:lvl w:ilvl="0" w:tplc="2C04DE54">
      <w:start w:val="1"/>
      <w:numFmt w:val="bullet"/>
      <w:lvlText w:val="-"/>
      <w:lvlJc w:val="left"/>
      <w:pPr>
        <w:tabs>
          <w:tab w:val="num" w:pos="720"/>
        </w:tabs>
        <w:ind w:left="720" w:hanging="360"/>
      </w:pPr>
      <w:rPr>
        <w:rFonts w:ascii="Arial" w:eastAsia="Times New Roman" w:hAnsi="Arial" w:cs="Aria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5">
    <w:nsid w:val="60F1543A"/>
    <w:multiLevelType w:val="singleLevel"/>
    <w:tmpl w:val="6E80C04C"/>
    <w:lvl w:ilvl="0">
      <w:start w:val="1"/>
      <w:numFmt w:val="bullet"/>
      <w:lvlText w:val=""/>
      <w:lvlJc w:val="left"/>
      <w:pPr>
        <w:ind w:left="720" w:hanging="360"/>
      </w:pPr>
      <w:rPr>
        <w:rFonts w:ascii="Symbol" w:hAnsi="Symbol" w:cs="Times New Roman" w:hint="default"/>
      </w:rPr>
    </w:lvl>
  </w:abstractNum>
  <w:abstractNum w:abstractNumId="6">
    <w:nsid w:val="6E5D3BED"/>
    <w:multiLevelType w:val="hybridMultilevel"/>
    <w:tmpl w:val="91AA8F3E"/>
    <w:lvl w:ilvl="0" w:tplc="1E448DE2">
      <w:start w:val="1"/>
      <w:numFmt w:val="lowerLetter"/>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num w:numId="1">
    <w:abstractNumId w:val="0"/>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7"/>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2"/>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1207"/>
    <w:rsid w:val="00037C5C"/>
    <w:rsid w:val="00172B82"/>
    <w:rsid w:val="0045231F"/>
    <w:rsid w:val="004946ED"/>
    <w:rsid w:val="00681207"/>
    <w:rsid w:val="00854BA9"/>
    <w:rsid w:val="009D32AA"/>
    <w:rsid w:val="00DA53E3"/>
    <w:rsid w:val="00DE3E0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54BA9"/>
    <w:rPr>
      <w:rFonts w:ascii="Arial" w:hAnsi="Arial"/>
      <w:szCs w:val="24"/>
      <w:lang w:eastAsia="en-US"/>
    </w:rPr>
  </w:style>
  <w:style w:type="paragraph" w:styleId="Heading1">
    <w:name w:val="heading 1"/>
    <w:basedOn w:val="Normal"/>
    <w:next w:val="Normal"/>
    <w:link w:val="Heading1Char"/>
    <w:qFormat/>
    <w:rsid w:val="00854BA9"/>
    <w:pPr>
      <w:keepNext/>
      <w:outlineLvl w:val="0"/>
    </w:pPr>
    <w:rPr>
      <w:b/>
      <w:color w:val="000080"/>
      <w:szCs w:val="20"/>
    </w:rPr>
  </w:style>
  <w:style w:type="paragraph" w:styleId="Heading2">
    <w:name w:val="heading 2"/>
    <w:basedOn w:val="Normal"/>
    <w:next w:val="Normal"/>
    <w:link w:val="Heading2Char"/>
    <w:unhideWhenUsed/>
    <w:qFormat/>
    <w:rsid w:val="00854BA9"/>
    <w:pPr>
      <w:keepNext/>
      <w:spacing w:before="240" w:after="60"/>
      <w:outlineLvl w:val="1"/>
    </w:pPr>
    <w:rPr>
      <w:rFonts w:cs="Arial"/>
      <w:b/>
      <w:bCs/>
      <w:iCs/>
      <w:szCs w:val="28"/>
    </w:rPr>
  </w:style>
  <w:style w:type="paragraph" w:styleId="Heading3">
    <w:name w:val="heading 3"/>
    <w:basedOn w:val="Normal"/>
    <w:next w:val="Normal"/>
    <w:link w:val="Heading3Char"/>
    <w:unhideWhenUsed/>
    <w:qFormat/>
    <w:rsid w:val="00854BA9"/>
    <w:pPr>
      <w:keepNext/>
      <w:outlineLvl w:val="2"/>
    </w:pPr>
    <w:rPr>
      <w:b/>
      <w:szCs w:val="20"/>
    </w:rPr>
  </w:style>
  <w:style w:type="paragraph" w:styleId="Heading4">
    <w:name w:val="heading 4"/>
    <w:basedOn w:val="Normal"/>
    <w:next w:val="Normal"/>
    <w:link w:val="Heading4Char"/>
    <w:unhideWhenUsed/>
    <w:qFormat/>
    <w:rsid w:val="00854BA9"/>
    <w:pPr>
      <w:keepNext/>
      <w:outlineLvl w:val="3"/>
    </w:pPr>
    <w:rPr>
      <w:b/>
      <w:i/>
      <w:szCs w:val="20"/>
    </w:rPr>
  </w:style>
  <w:style w:type="paragraph" w:styleId="Heading5">
    <w:name w:val="heading 5"/>
    <w:basedOn w:val="Normal"/>
    <w:next w:val="Normal"/>
    <w:link w:val="Heading5Char"/>
    <w:unhideWhenUsed/>
    <w:qFormat/>
    <w:rsid w:val="00854BA9"/>
    <w:pPr>
      <w:keepNext/>
      <w:outlineLvl w:val="4"/>
    </w:pPr>
    <w:rPr>
      <w:b/>
      <w:b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54BA9"/>
    <w:rPr>
      <w:rFonts w:ascii="Arial" w:hAnsi="Arial"/>
      <w:b/>
      <w:color w:val="000080"/>
      <w:lang w:eastAsia="en-US"/>
    </w:rPr>
  </w:style>
  <w:style w:type="character" w:customStyle="1" w:styleId="Heading2Char">
    <w:name w:val="Heading 2 Char"/>
    <w:basedOn w:val="DefaultParagraphFont"/>
    <w:link w:val="Heading2"/>
    <w:rsid w:val="00854BA9"/>
    <w:rPr>
      <w:rFonts w:ascii="Arial" w:hAnsi="Arial" w:cs="Arial"/>
      <w:b/>
      <w:bCs/>
      <w:iCs/>
      <w:szCs w:val="28"/>
      <w:lang w:eastAsia="en-US"/>
    </w:rPr>
  </w:style>
  <w:style w:type="character" w:customStyle="1" w:styleId="Heading3Char">
    <w:name w:val="Heading 3 Char"/>
    <w:basedOn w:val="DefaultParagraphFont"/>
    <w:link w:val="Heading3"/>
    <w:rsid w:val="00854BA9"/>
    <w:rPr>
      <w:rFonts w:ascii="Arial" w:hAnsi="Arial"/>
      <w:b/>
      <w:lang w:eastAsia="en-US"/>
    </w:rPr>
  </w:style>
  <w:style w:type="character" w:customStyle="1" w:styleId="Heading4Char">
    <w:name w:val="Heading 4 Char"/>
    <w:basedOn w:val="DefaultParagraphFont"/>
    <w:link w:val="Heading4"/>
    <w:rsid w:val="00854BA9"/>
    <w:rPr>
      <w:rFonts w:ascii="Arial" w:hAnsi="Arial"/>
      <w:b/>
      <w:i/>
      <w:lang w:eastAsia="en-US"/>
    </w:rPr>
  </w:style>
  <w:style w:type="character" w:customStyle="1" w:styleId="Heading5Char">
    <w:name w:val="Heading 5 Char"/>
    <w:basedOn w:val="DefaultParagraphFont"/>
    <w:link w:val="Heading5"/>
    <w:rsid w:val="00854BA9"/>
    <w:rPr>
      <w:rFonts w:ascii="Arial" w:hAnsi="Arial"/>
      <w:b/>
      <w:bCs/>
      <w:color w:val="000000"/>
      <w:szCs w:val="24"/>
      <w:lang w:eastAsia="en-US"/>
    </w:rPr>
  </w:style>
  <w:style w:type="character" w:styleId="Hyperlink">
    <w:name w:val="Hyperlink"/>
    <w:basedOn w:val="DefaultParagraphFont"/>
    <w:unhideWhenUsed/>
    <w:rsid w:val="00854BA9"/>
    <w:rPr>
      <w:color w:val="0000FF"/>
      <w:u w:val="single"/>
    </w:rPr>
  </w:style>
  <w:style w:type="paragraph" w:styleId="NormalWeb">
    <w:name w:val="Normal (Web)"/>
    <w:basedOn w:val="Normal"/>
    <w:unhideWhenUsed/>
    <w:rsid w:val="00854BA9"/>
    <w:pPr>
      <w:spacing w:before="100" w:beforeAutospacing="1" w:after="100" w:afterAutospacing="1"/>
    </w:pPr>
    <w:rPr>
      <w:rFonts w:ascii="Arial Unicode MS" w:eastAsia="Arial Unicode MS" w:hAnsi="Arial Unicode MS" w:cs="Arial Unicode MS"/>
      <w:sz w:val="24"/>
    </w:rPr>
  </w:style>
  <w:style w:type="paragraph" w:styleId="CommentText">
    <w:name w:val="annotation text"/>
    <w:basedOn w:val="Normal"/>
    <w:link w:val="CommentTextChar"/>
    <w:unhideWhenUsed/>
    <w:rsid w:val="00854BA9"/>
    <w:rPr>
      <w:szCs w:val="20"/>
    </w:rPr>
  </w:style>
  <w:style w:type="character" w:customStyle="1" w:styleId="CommentTextChar">
    <w:name w:val="Comment Text Char"/>
    <w:basedOn w:val="DefaultParagraphFont"/>
    <w:link w:val="CommentText"/>
    <w:rsid w:val="00854BA9"/>
    <w:rPr>
      <w:rFonts w:ascii="Arial" w:hAnsi="Arial"/>
      <w:lang w:eastAsia="en-US"/>
    </w:rPr>
  </w:style>
  <w:style w:type="paragraph" w:styleId="BodyTextIndent">
    <w:name w:val="Body Text Indent"/>
    <w:basedOn w:val="Normal"/>
    <w:link w:val="BodyTextIndentChar"/>
    <w:unhideWhenUsed/>
    <w:rsid w:val="00854BA9"/>
    <w:pPr>
      <w:ind w:left="720" w:hanging="720"/>
    </w:pPr>
    <w:rPr>
      <w:b/>
      <w:bCs/>
      <w:color w:val="000000"/>
    </w:rPr>
  </w:style>
  <w:style w:type="character" w:customStyle="1" w:styleId="BodyTextIndentChar">
    <w:name w:val="Body Text Indent Char"/>
    <w:basedOn w:val="DefaultParagraphFont"/>
    <w:link w:val="BodyTextIndent"/>
    <w:rsid w:val="00854BA9"/>
    <w:rPr>
      <w:rFonts w:ascii="Arial" w:hAnsi="Arial"/>
      <w:b/>
      <w:bCs/>
      <w:color w:val="000000"/>
      <w:szCs w:val="24"/>
      <w:lang w:eastAsia="en-US"/>
    </w:rPr>
  </w:style>
  <w:style w:type="table" w:styleId="TableGrid">
    <w:name w:val="Table Grid"/>
    <w:basedOn w:val="TableNormal"/>
    <w:rsid w:val="00854BA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854BA9"/>
    <w:pPr>
      <w:tabs>
        <w:tab w:val="center" w:pos="4513"/>
        <w:tab w:val="right" w:pos="9026"/>
      </w:tabs>
    </w:pPr>
  </w:style>
  <w:style w:type="character" w:customStyle="1" w:styleId="HeaderChar">
    <w:name w:val="Header Char"/>
    <w:basedOn w:val="DefaultParagraphFont"/>
    <w:link w:val="Header"/>
    <w:rsid w:val="00854BA9"/>
    <w:rPr>
      <w:rFonts w:ascii="Arial" w:hAnsi="Arial"/>
      <w:szCs w:val="24"/>
      <w:lang w:eastAsia="en-US"/>
    </w:rPr>
  </w:style>
  <w:style w:type="paragraph" w:styleId="Footer">
    <w:name w:val="footer"/>
    <w:basedOn w:val="Normal"/>
    <w:link w:val="FooterChar"/>
    <w:rsid w:val="00854BA9"/>
    <w:pPr>
      <w:tabs>
        <w:tab w:val="center" w:pos="4513"/>
        <w:tab w:val="right" w:pos="9026"/>
      </w:tabs>
    </w:pPr>
  </w:style>
  <w:style w:type="character" w:customStyle="1" w:styleId="FooterChar">
    <w:name w:val="Footer Char"/>
    <w:basedOn w:val="DefaultParagraphFont"/>
    <w:link w:val="Footer"/>
    <w:rsid w:val="00854BA9"/>
    <w:rPr>
      <w:rFonts w:ascii="Arial" w:hAnsi="Arial"/>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54BA9"/>
    <w:rPr>
      <w:rFonts w:ascii="Arial" w:hAnsi="Arial"/>
      <w:szCs w:val="24"/>
      <w:lang w:eastAsia="en-US"/>
    </w:rPr>
  </w:style>
  <w:style w:type="paragraph" w:styleId="Heading1">
    <w:name w:val="heading 1"/>
    <w:basedOn w:val="Normal"/>
    <w:next w:val="Normal"/>
    <w:link w:val="Heading1Char"/>
    <w:qFormat/>
    <w:rsid w:val="00854BA9"/>
    <w:pPr>
      <w:keepNext/>
      <w:outlineLvl w:val="0"/>
    </w:pPr>
    <w:rPr>
      <w:b/>
      <w:color w:val="000080"/>
      <w:szCs w:val="20"/>
    </w:rPr>
  </w:style>
  <w:style w:type="paragraph" w:styleId="Heading2">
    <w:name w:val="heading 2"/>
    <w:basedOn w:val="Normal"/>
    <w:next w:val="Normal"/>
    <w:link w:val="Heading2Char"/>
    <w:unhideWhenUsed/>
    <w:qFormat/>
    <w:rsid w:val="00854BA9"/>
    <w:pPr>
      <w:keepNext/>
      <w:spacing w:before="240" w:after="60"/>
      <w:outlineLvl w:val="1"/>
    </w:pPr>
    <w:rPr>
      <w:rFonts w:cs="Arial"/>
      <w:b/>
      <w:bCs/>
      <w:iCs/>
      <w:szCs w:val="28"/>
    </w:rPr>
  </w:style>
  <w:style w:type="paragraph" w:styleId="Heading3">
    <w:name w:val="heading 3"/>
    <w:basedOn w:val="Normal"/>
    <w:next w:val="Normal"/>
    <w:link w:val="Heading3Char"/>
    <w:unhideWhenUsed/>
    <w:qFormat/>
    <w:rsid w:val="00854BA9"/>
    <w:pPr>
      <w:keepNext/>
      <w:outlineLvl w:val="2"/>
    </w:pPr>
    <w:rPr>
      <w:b/>
      <w:szCs w:val="20"/>
    </w:rPr>
  </w:style>
  <w:style w:type="paragraph" w:styleId="Heading4">
    <w:name w:val="heading 4"/>
    <w:basedOn w:val="Normal"/>
    <w:next w:val="Normal"/>
    <w:link w:val="Heading4Char"/>
    <w:unhideWhenUsed/>
    <w:qFormat/>
    <w:rsid w:val="00854BA9"/>
    <w:pPr>
      <w:keepNext/>
      <w:outlineLvl w:val="3"/>
    </w:pPr>
    <w:rPr>
      <w:b/>
      <w:i/>
      <w:szCs w:val="20"/>
    </w:rPr>
  </w:style>
  <w:style w:type="paragraph" w:styleId="Heading5">
    <w:name w:val="heading 5"/>
    <w:basedOn w:val="Normal"/>
    <w:next w:val="Normal"/>
    <w:link w:val="Heading5Char"/>
    <w:unhideWhenUsed/>
    <w:qFormat/>
    <w:rsid w:val="00854BA9"/>
    <w:pPr>
      <w:keepNext/>
      <w:outlineLvl w:val="4"/>
    </w:pPr>
    <w:rPr>
      <w:b/>
      <w:b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54BA9"/>
    <w:rPr>
      <w:rFonts w:ascii="Arial" w:hAnsi="Arial"/>
      <w:b/>
      <w:color w:val="000080"/>
      <w:lang w:eastAsia="en-US"/>
    </w:rPr>
  </w:style>
  <w:style w:type="character" w:customStyle="1" w:styleId="Heading2Char">
    <w:name w:val="Heading 2 Char"/>
    <w:basedOn w:val="DefaultParagraphFont"/>
    <w:link w:val="Heading2"/>
    <w:rsid w:val="00854BA9"/>
    <w:rPr>
      <w:rFonts w:ascii="Arial" w:hAnsi="Arial" w:cs="Arial"/>
      <w:b/>
      <w:bCs/>
      <w:iCs/>
      <w:szCs w:val="28"/>
      <w:lang w:eastAsia="en-US"/>
    </w:rPr>
  </w:style>
  <w:style w:type="character" w:customStyle="1" w:styleId="Heading3Char">
    <w:name w:val="Heading 3 Char"/>
    <w:basedOn w:val="DefaultParagraphFont"/>
    <w:link w:val="Heading3"/>
    <w:rsid w:val="00854BA9"/>
    <w:rPr>
      <w:rFonts w:ascii="Arial" w:hAnsi="Arial"/>
      <w:b/>
      <w:lang w:eastAsia="en-US"/>
    </w:rPr>
  </w:style>
  <w:style w:type="character" w:customStyle="1" w:styleId="Heading4Char">
    <w:name w:val="Heading 4 Char"/>
    <w:basedOn w:val="DefaultParagraphFont"/>
    <w:link w:val="Heading4"/>
    <w:rsid w:val="00854BA9"/>
    <w:rPr>
      <w:rFonts w:ascii="Arial" w:hAnsi="Arial"/>
      <w:b/>
      <w:i/>
      <w:lang w:eastAsia="en-US"/>
    </w:rPr>
  </w:style>
  <w:style w:type="character" w:customStyle="1" w:styleId="Heading5Char">
    <w:name w:val="Heading 5 Char"/>
    <w:basedOn w:val="DefaultParagraphFont"/>
    <w:link w:val="Heading5"/>
    <w:rsid w:val="00854BA9"/>
    <w:rPr>
      <w:rFonts w:ascii="Arial" w:hAnsi="Arial"/>
      <w:b/>
      <w:bCs/>
      <w:color w:val="000000"/>
      <w:szCs w:val="24"/>
      <w:lang w:eastAsia="en-US"/>
    </w:rPr>
  </w:style>
  <w:style w:type="character" w:styleId="Hyperlink">
    <w:name w:val="Hyperlink"/>
    <w:basedOn w:val="DefaultParagraphFont"/>
    <w:unhideWhenUsed/>
    <w:rsid w:val="00854BA9"/>
    <w:rPr>
      <w:color w:val="0000FF"/>
      <w:u w:val="single"/>
    </w:rPr>
  </w:style>
  <w:style w:type="paragraph" w:styleId="NormalWeb">
    <w:name w:val="Normal (Web)"/>
    <w:basedOn w:val="Normal"/>
    <w:unhideWhenUsed/>
    <w:rsid w:val="00854BA9"/>
    <w:pPr>
      <w:spacing w:before="100" w:beforeAutospacing="1" w:after="100" w:afterAutospacing="1"/>
    </w:pPr>
    <w:rPr>
      <w:rFonts w:ascii="Arial Unicode MS" w:eastAsia="Arial Unicode MS" w:hAnsi="Arial Unicode MS" w:cs="Arial Unicode MS"/>
      <w:sz w:val="24"/>
    </w:rPr>
  </w:style>
  <w:style w:type="paragraph" w:styleId="CommentText">
    <w:name w:val="annotation text"/>
    <w:basedOn w:val="Normal"/>
    <w:link w:val="CommentTextChar"/>
    <w:unhideWhenUsed/>
    <w:rsid w:val="00854BA9"/>
    <w:rPr>
      <w:szCs w:val="20"/>
    </w:rPr>
  </w:style>
  <w:style w:type="character" w:customStyle="1" w:styleId="CommentTextChar">
    <w:name w:val="Comment Text Char"/>
    <w:basedOn w:val="DefaultParagraphFont"/>
    <w:link w:val="CommentText"/>
    <w:rsid w:val="00854BA9"/>
    <w:rPr>
      <w:rFonts w:ascii="Arial" w:hAnsi="Arial"/>
      <w:lang w:eastAsia="en-US"/>
    </w:rPr>
  </w:style>
  <w:style w:type="paragraph" w:styleId="BodyTextIndent">
    <w:name w:val="Body Text Indent"/>
    <w:basedOn w:val="Normal"/>
    <w:link w:val="BodyTextIndentChar"/>
    <w:unhideWhenUsed/>
    <w:rsid w:val="00854BA9"/>
    <w:pPr>
      <w:ind w:left="720" w:hanging="720"/>
    </w:pPr>
    <w:rPr>
      <w:b/>
      <w:bCs/>
      <w:color w:val="000000"/>
    </w:rPr>
  </w:style>
  <w:style w:type="character" w:customStyle="1" w:styleId="BodyTextIndentChar">
    <w:name w:val="Body Text Indent Char"/>
    <w:basedOn w:val="DefaultParagraphFont"/>
    <w:link w:val="BodyTextIndent"/>
    <w:rsid w:val="00854BA9"/>
    <w:rPr>
      <w:rFonts w:ascii="Arial" w:hAnsi="Arial"/>
      <w:b/>
      <w:bCs/>
      <w:color w:val="000000"/>
      <w:szCs w:val="24"/>
      <w:lang w:eastAsia="en-US"/>
    </w:rPr>
  </w:style>
  <w:style w:type="table" w:styleId="TableGrid">
    <w:name w:val="Table Grid"/>
    <w:basedOn w:val="TableNormal"/>
    <w:rsid w:val="00854BA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854BA9"/>
    <w:pPr>
      <w:tabs>
        <w:tab w:val="center" w:pos="4513"/>
        <w:tab w:val="right" w:pos="9026"/>
      </w:tabs>
    </w:pPr>
  </w:style>
  <w:style w:type="character" w:customStyle="1" w:styleId="HeaderChar">
    <w:name w:val="Header Char"/>
    <w:basedOn w:val="DefaultParagraphFont"/>
    <w:link w:val="Header"/>
    <w:rsid w:val="00854BA9"/>
    <w:rPr>
      <w:rFonts w:ascii="Arial" w:hAnsi="Arial"/>
      <w:szCs w:val="24"/>
      <w:lang w:eastAsia="en-US"/>
    </w:rPr>
  </w:style>
  <w:style w:type="paragraph" w:styleId="Footer">
    <w:name w:val="footer"/>
    <w:basedOn w:val="Normal"/>
    <w:link w:val="FooterChar"/>
    <w:rsid w:val="00854BA9"/>
    <w:pPr>
      <w:tabs>
        <w:tab w:val="center" w:pos="4513"/>
        <w:tab w:val="right" w:pos="9026"/>
      </w:tabs>
    </w:pPr>
  </w:style>
  <w:style w:type="character" w:customStyle="1" w:styleId="FooterChar">
    <w:name w:val="Footer Char"/>
    <w:basedOn w:val="DefaultParagraphFont"/>
    <w:link w:val="Footer"/>
    <w:rsid w:val="00854BA9"/>
    <w:rPr>
      <w:rFonts w:ascii="Arial" w:hAnsi="Arial"/>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5035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se.ac.uk/resources/calendar/programmeRegulations/taughtMasters/2012_MScInternationalDevelopmentAndHumanitarianEmergencies.ht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9868DD9.dotm</Template>
  <TotalTime>10</TotalTime>
  <Pages>4</Pages>
  <Words>1504</Words>
  <Characters>8963</Characters>
  <Application>Microsoft Office Word</Application>
  <DocSecurity>0</DocSecurity>
  <Lines>74</Lines>
  <Paragraphs>20</Paragraphs>
  <ScaleCrop>false</ScaleCrop>
  <Company>London School of Economics</Company>
  <LinksUpToDate>false</LinksUpToDate>
  <CharactersWithSpaces>10447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Jordan,SJ</dc:creator>
  <cp:keywords/>
  <dc:description/>
  <cp:lastModifiedBy>Hewlett,TW</cp:lastModifiedBy>
  <cp:revision>5</cp:revision>
  <dcterms:created xsi:type="dcterms:W3CDTF">2012-09-13T11:34:00Z</dcterms:created>
  <dcterms:modified xsi:type="dcterms:W3CDTF">2012-11-14T13:34:00Z</dcterms:modified>
</cp:coreProperties>
</file>