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12C" w:rsidRPr="00D14EB7" w:rsidRDefault="00AD112C" w:rsidP="00D14EB7">
      <w:pPr>
        <w:pStyle w:val="Heading4"/>
      </w:pPr>
      <w:r w:rsidRPr="00D14EB7">
        <w:t>Programme Specification: MSc Environmental Policy and Regulation</w:t>
      </w:r>
    </w:p>
    <w:p w:rsidR="00AD112C" w:rsidRPr="00D14EB7" w:rsidRDefault="00AD112C">
      <w:pPr>
        <w:rPr>
          <w:rFonts w:ascii="Arial" w:hAnsi="Arial" w:cs="Arial"/>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882"/>
      </w:tblGrid>
      <w:tr w:rsidR="00AD112C" w:rsidRPr="00D14EB7">
        <w:tc>
          <w:tcPr>
            <w:tcW w:w="4361" w:type="dxa"/>
          </w:tcPr>
          <w:p w:rsidR="00AD112C" w:rsidRPr="00D14EB7" w:rsidRDefault="00AD112C">
            <w:pPr>
              <w:rPr>
                <w:rFonts w:ascii="Arial" w:hAnsi="Arial" w:cs="Arial"/>
                <w:b/>
                <w:bCs/>
                <w:color w:val="000000"/>
                <w:sz w:val="20"/>
              </w:rPr>
            </w:pPr>
            <w:r w:rsidRPr="00D14EB7">
              <w:rPr>
                <w:rFonts w:ascii="Arial" w:hAnsi="Arial" w:cs="Arial"/>
                <w:b/>
                <w:bCs/>
                <w:color w:val="000000"/>
                <w:sz w:val="20"/>
              </w:rPr>
              <w:t>1. Awarding Body</w:t>
            </w:r>
          </w:p>
        </w:tc>
        <w:tc>
          <w:tcPr>
            <w:tcW w:w="4882" w:type="dxa"/>
          </w:tcPr>
          <w:p w:rsidR="00AD112C" w:rsidRPr="00D14EB7" w:rsidRDefault="00AD112C">
            <w:pPr>
              <w:rPr>
                <w:rFonts w:ascii="Arial" w:hAnsi="Arial" w:cs="Arial"/>
                <w:color w:val="000000"/>
                <w:sz w:val="20"/>
              </w:rPr>
            </w:pPr>
            <w:r w:rsidRPr="00D14EB7">
              <w:rPr>
                <w:rFonts w:ascii="Arial" w:hAnsi="Arial" w:cs="Arial"/>
                <w:color w:val="000000"/>
                <w:sz w:val="20"/>
              </w:rPr>
              <w:t xml:space="preserve">LSE </w:t>
            </w:r>
          </w:p>
        </w:tc>
      </w:tr>
      <w:tr w:rsidR="00AD112C" w:rsidRPr="00D14EB7">
        <w:tc>
          <w:tcPr>
            <w:tcW w:w="4361" w:type="dxa"/>
          </w:tcPr>
          <w:p w:rsidR="00AD112C" w:rsidRPr="00D14EB7" w:rsidRDefault="00AD112C">
            <w:pPr>
              <w:rPr>
                <w:rFonts w:ascii="Arial" w:hAnsi="Arial" w:cs="Arial"/>
                <w:b/>
                <w:bCs/>
                <w:color w:val="000000"/>
                <w:sz w:val="20"/>
              </w:rPr>
            </w:pPr>
            <w:r w:rsidRPr="00D14EB7">
              <w:rPr>
                <w:rFonts w:ascii="Arial" w:hAnsi="Arial" w:cs="Arial"/>
                <w:b/>
                <w:bCs/>
                <w:color w:val="000000"/>
                <w:sz w:val="20"/>
              </w:rPr>
              <w:t xml:space="preserve">2. Details of accreditation by a professional/statutory body, </w:t>
            </w:r>
            <w:proofErr w:type="spellStart"/>
            <w:r w:rsidRPr="00D14EB7">
              <w:rPr>
                <w:rFonts w:ascii="Arial" w:hAnsi="Arial" w:cs="Arial"/>
                <w:b/>
                <w:bCs/>
                <w:color w:val="000000"/>
                <w:sz w:val="20"/>
              </w:rPr>
              <w:t>eg</w:t>
            </w:r>
            <w:proofErr w:type="spellEnd"/>
            <w:r w:rsidRPr="00D14EB7">
              <w:rPr>
                <w:rFonts w:ascii="Arial" w:hAnsi="Arial" w:cs="Arial"/>
                <w:b/>
                <w:bCs/>
                <w:color w:val="000000"/>
                <w:sz w:val="20"/>
              </w:rPr>
              <w:t xml:space="preserve"> ESRC; BPS </w:t>
            </w:r>
            <w:proofErr w:type="spellStart"/>
            <w:r w:rsidRPr="00D14EB7">
              <w:rPr>
                <w:rFonts w:ascii="Arial" w:hAnsi="Arial" w:cs="Arial"/>
                <w:b/>
                <w:bCs/>
                <w:color w:val="000000"/>
                <w:sz w:val="20"/>
              </w:rPr>
              <w:t>etc</w:t>
            </w:r>
            <w:proofErr w:type="spellEnd"/>
          </w:p>
        </w:tc>
        <w:tc>
          <w:tcPr>
            <w:tcW w:w="4882" w:type="dxa"/>
          </w:tcPr>
          <w:p w:rsidR="00AD112C" w:rsidRPr="00D14EB7" w:rsidRDefault="00AD112C">
            <w:pPr>
              <w:rPr>
                <w:rFonts w:ascii="Arial" w:hAnsi="Arial" w:cs="Arial"/>
                <w:color w:val="000000"/>
                <w:sz w:val="20"/>
              </w:rPr>
            </w:pPr>
            <w:r w:rsidRPr="00D14EB7">
              <w:rPr>
                <w:rFonts w:ascii="Arial" w:hAnsi="Arial" w:cs="Arial"/>
                <w:color w:val="000000"/>
                <w:sz w:val="20"/>
              </w:rPr>
              <w:t>N/A</w:t>
            </w:r>
          </w:p>
        </w:tc>
      </w:tr>
      <w:tr w:rsidR="00AD112C" w:rsidRPr="00D14EB7">
        <w:tc>
          <w:tcPr>
            <w:tcW w:w="4361" w:type="dxa"/>
          </w:tcPr>
          <w:p w:rsidR="00AD112C" w:rsidRPr="00D14EB7" w:rsidRDefault="00AD112C">
            <w:pPr>
              <w:rPr>
                <w:rFonts w:ascii="Arial" w:hAnsi="Arial" w:cs="Arial"/>
                <w:color w:val="000000"/>
                <w:sz w:val="20"/>
              </w:rPr>
            </w:pPr>
            <w:r w:rsidRPr="00D14EB7">
              <w:rPr>
                <w:rFonts w:ascii="Arial" w:hAnsi="Arial" w:cs="Arial"/>
                <w:b/>
                <w:bCs/>
                <w:color w:val="000000"/>
                <w:sz w:val="20"/>
              </w:rPr>
              <w:t xml:space="preserve">3. </w:t>
            </w:r>
            <w:r w:rsidRPr="00D14EB7">
              <w:rPr>
                <w:rFonts w:ascii="Arial" w:hAnsi="Arial" w:cs="Arial"/>
                <w:b/>
                <w:color w:val="000000"/>
                <w:sz w:val="20"/>
              </w:rPr>
              <w:t>Name of final award</w:t>
            </w:r>
          </w:p>
        </w:tc>
        <w:tc>
          <w:tcPr>
            <w:tcW w:w="4882" w:type="dxa"/>
          </w:tcPr>
          <w:p w:rsidR="00AD112C" w:rsidRPr="00D14EB7" w:rsidRDefault="00AD112C">
            <w:pPr>
              <w:rPr>
                <w:rFonts w:ascii="Arial" w:hAnsi="Arial" w:cs="Arial"/>
                <w:color w:val="000000"/>
                <w:sz w:val="20"/>
              </w:rPr>
            </w:pPr>
            <w:r w:rsidRPr="00D14EB7">
              <w:rPr>
                <w:rFonts w:ascii="Arial" w:hAnsi="Arial" w:cs="Arial"/>
                <w:color w:val="000000"/>
                <w:sz w:val="20"/>
              </w:rPr>
              <w:t>MSc</w:t>
            </w:r>
          </w:p>
        </w:tc>
      </w:tr>
      <w:tr w:rsidR="00AD112C" w:rsidRPr="00D14EB7">
        <w:tc>
          <w:tcPr>
            <w:tcW w:w="4361" w:type="dxa"/>
          </w:tcPr>
          <w:p w:rsidR="00AD112C" w:rsidRPr="00D14EB7" w:rsidRDefault="00AD112C">
            <w:pPr>
              <w:rPr>
                <w:rFonts w:ascii="Arial" w:hAnsi="Arial" w:cs="Arial"/>
                <w:color w:val="000000"/>
                <w:sz w:val="20"/>
              </w:rPr>
            </w:pPr>
            <w:r w:rsidRPr="00D14EB7">
              <w:rPr>
                <w:rFonts w:ascii="Arial" w:hAnsi="Arial" w:cs="Arial"/>
                <w:b/>
                <w:bCs/>
                <w:color w:val="000000"/>
                <w:sz w:val="20"/>
              </w:rPr>
              <w:t xml:space="preserve">4. </w:t>
            </w:r>
            <w:r w:rsidRPr="00D14EB7">
              <w:rPr>
                <w:rFonts w:ascii="Arial" w:hAnsi="Arial" w:cs="Arial"/>
                <w:b/>
                <w:color w:val="000000"/>
                <w:sz w:val="20"/>
              </w:rPr>
              <w:t>Programme title</w:t>
            </w:r>
          </w:p>
        </w:tc>
        <w:tc>
          <w:tcPr>
            <w:tcW w:w="4882" w:type="dxa"/>
          </w:tcPr>
          <w:p w:rsidR="00AD112C" w:rsidRPr="00D14EB7" w:rsidRDefault="00AD112C">
            <w:pPr>
              <w:rPr>
                <w:rFonts w:ascii="Arial" w:hAnsi="Arial" w:cs="Arial"/>
                <w:color w:val="000000"/>
                <w:sz w:val="20"/>
              </w:rPr>
            </w:pPr>
            <w:r w:rsidRPr="00D14EB7">
              <w:rPr>
                <w:rFonts w:ascii="Arial" w:hAnsi="Arial" w:cs="Arial"/>
                <w:bCs/>
                <w:sz w:val="20"/>
              </w:rPr>
              <w:t>Environmental Policy</w:t>
            </w:r>
            <w:r w:rsidR="00392A3E" w:rsidRPr="00D14EB7">
              <w:rPr>
                <w:rFonts w:ascii="Arial" w:hAnsi="Arial" w:cs="Arial"/>
                <w:bCs/>
                <w:sz w:val="20"/>
              </w:rPr>
              <w:t xml:space="preserve"> and </w:t>
            </w:r>
            <w:r w:rsidRPr="00D14EB7">
              <w:rPr>
                <w:rFonts w:ascii="Arial" w:hAnsi="Arial" w:cs="Arial"/>
                <w:bCs/>
                <w:color w:val="000000"/>
                <w:sz w:val="20"/>
              </w:rPr>
              <w:t>Regulation</w:t>
            </w:r>
          </w:p>
        </w:tc>
      </w:tr>
      <w:tr w:rsidR="00AD112C" w:rsidRPr="00D14EB7">
        <w:tc>
          <w:tcPr>
            <w:tcW w:w="4361" w:type="dxa"/>
          </w:tcPr>
          <w:p w:rsidR="00AD112C" w:rsidRPr="00D14EB7" w:rsidRDefault="00AD112C">
            <w:pPr>
              <w:rPr>
                <w:rFonts w:ascii="Arial" w:hAnsi="Arial" w:cs="Arial"/>
                <w:b/>
                <w:bCs/>
                <w:color w:val="000000"/>
                <w:sz w:val="20"/>
              </w:rPr>
            </w:pPr>
            <w:r w:rsidRPr="00D14EB7">
              <w:rPr>
                <w:rFonts w:ascii="Arial" w:hAnsi="Arial" w:cs="Arial"/>
                <w:b/>
                <w:bCs/>
                <w:color w:val="000000"/>
                <w:sz w:val="20"/>
              </w:rPr>
              <w:t>5. Duration of the course</w:t>
            </w:r>
          </w:p>
        </w:tc>
        <w:tc>
          <w:tcPr>
            <w:tcW w:w="4882" w:type="dxa"/>
          </w:tcPr>
          <w:p w:rsidR="00AD112C" w:rsidRPr="00D14EB7" w:rsidRDefault="00AD112C">
            <w:pPr>
              <w:rPr>
                <w:rFonts w:ascii="Arial" w:hAnsi="Arial" w:cs="Arial"/>
                <w:bCs/>
                <w:sz w:val="20"/>
              </w:rPr>
            </w:pPr>
            <w:r w:rsidRPr="00D14EB7">
              <w:rPr>
                <w:rFonts w:ascii="Arial" w:hAnsi="Arial" w:cs="Arial"/>
                <w:bCs/>
                <w:sz w:val="20"/>
              </w:rPr>
              <w:t>Full-time 12 months; part-time 24 months</w:t>
            </w:r>
          </w:p>
        </w:tc>
      </w:tr>
      <w:tr w:rsidR="00AD112C" w:rsidRPr="00D14EB7">
        <w:tc>
          <w:tcPr>
            <w:tcW w:w="4361" w:type="dxa"/>
          </w:tcPr>
          <w:p w:rsidR="00AD112C" w:rsidRPr="00D14EB7" w:rsidRDefault="00AD112C">
            <w:pPr>
              <w:rPr>
                <w:rFonts w:ascii="Arial" w:hAnsi="Arial" w:cs="Arial"/>
                <w:b/>
                <w:bCs/>
                <w:color w:val="000000"/>
                <w:sz w:val="20"/>
              </w:rPr>
            </w:pPr>
            <w:r w:rsidRPr="00D14EB7">
              <w:rPr>
                <w:rFonts w:ascii="Arial" w:hAnsi="Arial" w:cs="Arial"/>
                <w:b/>
                <w:bCs/>
                <w:color w:val="000000"/>
                <w:sz w:val="20"/>
              </w:rPr>
              <w:t>6. Based in the Department/Institute:</w:t>
            </w:r>
          </w:p>
        </w:tc>
        <w:tc>
          <w:tcPr>
            <w:tcW w:w="4882" w:type="dxa"/>
          </w:tcPr>
          <w:p w:rsidR="00AD112C" w:rsidRPr="00D14EB7" w:rsidRDefault="00AD112C">
            <w:pPr>
              <w:rPr>
                <w:rFonts w:ascii="Arial" w:hAnsi="Arial" w:cs="Arial"/>
                <w:bCs/>
                <w:sz w:val="20"/>
              </w:rPr>
            </w:pPr>
            <w:r w:rsidRPr="00D14EB7">
              <w:rPr>
                <w:rFonts w:ascii="Arial" w:hAnsi="Arial" w:cs="Arial"/>
                <w:bCs/>
                <w:sz w:val="20"/>
              </w:rPr>
              <w:t>Geography and Environment</w:t>
            </w:r>
          </w:p>
        </w:tc>
      </w:tr>
      <w:tr w:rsidR="00AD112C" w:rsidRPr="00D14EB7">
        <w:tc>
          <w:tcPr>
            <w:tcW w:w="4361" w:type="dxa"/>
          </w:tcPr>
          <w:p w:rsidR="00AD112C" w:rsidRPr="00D14EB7" w:rsidRDefault="00AD112C">
            <w:pPr>
              <w:rPr>
                <w:rFonts w:ascii="Arial" w:hAnsi="Arial" w:cs="Arial"/>
                <w:color w:val="000000"/>
                <w:sz w:val="20"/>
              </w:rPr>
            </w:pPr>
            <w:r w:rsidRPr="00D14EB7">
              <w:rPr>
                <w:rFonts w:ascii="Arial" w:hAnsi="Arial" w:cs="Arial"/>
                <w:b/>
                <w:bCs/>
                <w:color w:val="000000"/>
                <w:sz w:val="20"/>
              </w:rPr>
              <w:t>7.</w:t>
            </w:r>
            <w:r w:rsidRPr="00D14EB7">
              <w:rPr>
                <w:rFonts w:ascii="Arial" w:hAnsi="Arial" w:cs="Arial"/>
                <w:color w:val="000000"/>
                <w:sz w:val="20"/>
              </w:rPr>
              <w:t xml:space="preserve"> </w:t>
            </w:r>
            <w:r w:rsidRPr="00D14EB7">
              <w:rPr>
                <w:rFonts w:ascii="Arial" w:hAnsi="Arial" w:cs="Arial"/>
                <w:b/>
                <w:color w:val="000000"/>
                <w:sz w:val="20"/>
              </w:rPr>
              <w:t>Relevant QAA subject benchmark statements</w:t>
            </w:r>
          </w:p>
        </w:tc>
        <w:tc>
          <w:tcPr>
            <w:tcW w:w="4882" w:type="dxa"/>
          </w:tcPr>
          <w:p w:rsidR="00AD112C" w:rsidRPr="00D14EB7" w:rsidRDefault="00AD112C">
            <w:pPr>
              <w:rPr>
                <w:rFonts w:ascii="Arial" w:hAnsi="Arial" w:cs="Arial"/>
                <w:color w:val="000000"/>
                <w:sz w:val="20"/>
              </w:rPr>
            </w:pPr>
            <w:r w:rsidRPr="00D14EB7">
              <w:rPr>
                <w:rFonts w:ascii="Arial" w:hAnsi="Arial" w:cs="Arial"/>
                <w:color w:val="000000"/>
                <w:sz w:val="20"/>
              </w:rPr>
              <w:t>N/A</w:t>
            </w:r>
          </w:p>
        </w:tc>
      </w:tr>
      <w:tr w:rsidR="00AD112C" w:rsidRPr="00D14EB7">
        <w:tc>
          <w:tcPr>
            <w:tcW w:w="4361" w:type="dxa"/>
          </w:tcPr>
          <w:p w:rsidR="00AD112C" w:rsidRPr="00D14EB7" w:rsidRDefault="00AD112C">
            <w:pPr>
              <w:rPr>
                <w:rFonts w:ascii="Arial" w:hAnsi="Arial" w:cs="Arial"/>
                <w:color w:val="000000"/>
                <w:sz w:val="20"/>
              </w:rPr>
            </w:pPr>
            <w:r w:rsidRPr="00D14EB7">
              <w:rPr>
                <w:rFonts w:ascii="Arial" w:hAnsi="Arial" w:cs="Arial"/>
                <w:b/>
                <w:bCs/>
                <w:color w:val="000000"/>
                <w:sz w:val="20"/>
              </w:rPr>
              <w:t>8.</w:t>
            </w:r>
            <w:r w:rsidRPr="00D14EB7">
              <w:rPr>
                <w:rFonts w:ascii="Arial" w:hAnsi="Arial" w:cs="Arial"/>
                <w:color w:val="000000"/>
                <w:sz w:val="20"/>
              </w:rPr>
              <w:t xml:space="preserve"> </w:t>
            </w:r>
            <w:r w:rsidRPr="00D14EB7">
              <w:rPr>
                <w:rFonts w:ascii="Arial" w:hAnsi="Arial" w:cs="Arial"/>
                <w:b/>
                <w:color w:val="000000"/>
                <w:sz w:val="20"/>
              </w:rPr>
              <w:t>Application code</w:t>
            </w:r>
          </w:p>
        </w:tc>
        <w:tc>
          <w:tcPr>
            <w:tcW w:w="4882" w:type="dxa"/>
          </w:tcPr>
          <w:p w:rsidR="00AD112C" w:rsidRPr="00D14EB7" w:rsidRDefault="00AD112C">
            <w:pPr>
              <w:rPr>
                <w:rFonts w:ascii="Arial" w:hAnsi="Arial" w:cs="Arial"/>
                <w:color w:val="000000"/>
                <w:sz w:val="20"/>
              </w:rPr>
            </w:pPr>
            <w:r w:rsidRPr="00D14EB7">
              <w:rPr>
                <w:rFonts w:ascii="Arial" w:hAnsi="Arial" w:cs="Arial"/>
                <w:color w:val="000000"/>
                <w:sz w:val="20"/>
              </w:rPr>
              <w:t>F9U</w:t>
            </w:r>
            <w:r w:rsidR="00392A3E" w:rsidRPr="00D14EB7">
              <w:rPr>
                <w:rFonts w:ascii="Arial" w:hAnsi="Arial" w:cs="Arial"/>
                <w:color w:val="000000"/>
                <w:sz w:val="20"/>
              </w:rPr>
              <w:t>G</w:t>
            </w:r>
          </w:p>
        </w:tc>
      </w:tr>
      <w:tr w:rsidR="00AD112C" w:rsidRPr="00D14EB7">
        <w:tc>
          <w:tcPr>
            <w:tcW w:w="4361" w:type="dxa"/>
          </w:tcPr>
          <w:p w:rsidR="00AD112C" w:rsidRPr="00D14EB7" w:rsidRDefault="00AD112C">
            <w:pPr>
              <w:rPr>
                <w:rFonts w:ascii="Arial" w:hAnsi="Arial" w:cs="Arial"/>
                <w:color w:val="000000"/>
                <w:sz w:val="20"/>
              </w:rPr>
            </w:pPr>
            <w:r w:rsidRPr="00D14EB7">
              <w:rPr>
                <w:rFonts w:ascii="Arial" w:hAnsi="Arial" w:cs="Arial"/>
                <w:b/>
                <w:bCs/>
                <w:color w:val="000000"/>
                <w:sz w:val="20"/>
              </w:rPr>
              <w:t>9.</w:t>
            </w:r>
            <w:r w:rsidRPr="00D14EB7">
              <w:rPr>
                <w:rFonts w:ascii="Arial" w:hAnsi="Arial" w:cs="Arial"/>
                <w:color w:val="000000"/>
                <w:sz w:val="20"/>
              </w:rPr>
              <w:t xml:space="preserve"> </w:t>
            </w:r>
            <w:r w:rsidRPr="00D14EB7">
              <w:rPr>
                <w:rFonts w:ascii="Arial" w:hAnsi="Arial" w:cs="Arial"/>
                <w:b/>
                <w:color w:val="000000"/>
                <w:sz w:val="20"/>
              </w:rPr>
              <w:t>First written/last amended</w:t>
            </w:r>
          </w:p>
        </w:tc>
        <w:tc>
          <w:tcPr>
            <w:tcW w:w="4882" w:type="dxa"/>
          </w:tcPr>
          <w:p w:rsidR="00AD112C" w:rsidRPr="00D14EB7" w:rsidRDefault="00AD112C">
            <w:pPr>
              <w:rPr>
                <w:rFonts w:ascii="Arial" w:hAnsi="Arial" w:cs="Arial"/>
                <w:color w:val="000000"/>
                <w:sz w:val="20"/>
              </w:rPr>
            </w:pPr>
            <w:r w:rsidRPr="00D14EB7">
              <w:rPr>
                <w:rFonts w:ascii="Arial" w:hAnsi="Arial" w:cs="Arial"/>
                <w:color w:val="000000"/>
                <w:sz w:val="20"/>
              </w:rPr>
              <w:t>June 2003</w:t>
            </w:r>
            <w:r w:rsidR="00392A3E" w:rsidRPr="00D14EB7">
              <w:rPr>
                <w:rFonts w:ascii="Arial" w:hAnsi="Arial" w:cs="Arial"/>
                <w:color w:val="000000"/>
                <w:sz w:val="20"/>
              </w:rPr>
              <w:t xml:space="preserve"> / November 20</w:t>
            </w:r>
            <w:r w:rsidR="00D14EB7" w:rsidRPr="00D14EB7">
              <w:rPr>
                <w:rFonts w:ascii="Arial" w:hAnsi="Arial" w:cs="Arial"/>
                <w:color w:val="000000"/>
                <w:sz w:val="20"/>
              </w:rPr>
              <w:t>12</w:t>
            </w:r>
          </w:p>
        </w:tc>
      </w:tr>
    </w:tbl>
    <w:p w:rsidR="00AD112C" w:rsidRPr="00D14EB7" w:rsidRDefault="00AD112C">
      <w:pPr>
        <w:rPr>
          <w:rFonts w:ascii="Arial" w:hAnsi="Arial" w:cs="Arial"/>
          <w:sz w:val="20"/>
        </w:rPr>
      </w:pPr>
    </w:p>
    <w:p w:rsidR="00AD112C" w:rsidRPr="00D14EB7" w:rsidRDefault="00AD112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D14EB7" w:rsidRPr="00D14EB7">
        <w:trPr>
          <w:cantSplit/>
        </w:trPr>
        <w:tc>
          <w:tcPr>
            <w:tcW w:w="9243" w:type="dxa"/>
          </w:tcPr>
          <w:p w:rsidR="00D14EB7" w:rsidRPr="00D14EB7" w:rsidRDefault="00D14EB7">
            <w:pPr>
              <w:rPr>
                <w:rFonts w:ascii="Arial" w:hAnsi="Arial" w:cs="Arial"/>
                <w:color w:val="000000"/>
                <w:sz w:val="20"/>
              </w:rPr>
            </w:pPr>
            <w:r w:rsidRPr="00D14EB7">
              <w:rPr>
                <w:rFonts w:ascii="Arial" w:hAnsi="Arial" w:cs="Arial"/>
                <w:b/>
                <w:bCs/>
                <w:color w:val="000000"/>
                <w:sz w:val="20"/>
              </w:rPr>
              <w:t>10.</w:t>
            </w:r>
            <w:r w:rsidRPr="00D14EB7">
              <w:rPr>
                <w:rFonts w:ascii="Arial" w:hAnsi="Arial" w:cs="Arial"/>
                <w:color w:val="000000"/>
                <w:sz w:val="20"/>
              </w:rPr>
              <w:t xml:space="preserve"> </w:t>
            </w:r>
            <w:r w:rsidRPr="00D14EB7">
              <w:rPr>
                <w:rFonts w:ascii="Arial" w:hAnsi="Arial" w:cs="Arial"/>
                <w:b/>
                <w:color w:val="000000"/>
                <w:sz w:val="20"/>
              </w:rPr>
              <w:t>The programme aims</w:t>
            </w:r>
            <w:r w:rsidRPr="00D14EB7">
              <w:rPr>
                <w:rFonts w:ascii="Arial" w:hAnsi="Arial" w:cs="Arial"/>
                <w:color w:val="000000"/>
                <w:sz w:val="20"/>
              </w:rPr>
              <w:t xml:space="preserve"> </w:t>
            </w:r>
            <w:r w:rsidRPr="00D14EB7">
              <w:rPr>
                <w:rFonts w:ascii="Arial" w:hAnsi="Arial" w:cs="Arial"/>
                <w:b/>
                <w:bCs/>
                <w:color w:val="000000"/>
                <w:sz w:val="20"/>
              </w:rPr>
              <w:t>to:</w:t>
            </w:r>
          </w:p>
        </w:tc>
      </w:tr>
      <w:tr w:rsidR="00AD112C" w:rsidRPr="00D14EB7">
        <w:trPr>
          <w:cantSplit/>
        </w:trPr>
        <w:tc>
          <w:tcPr>
            <w:tcW w:w="9243" w:type="dxa"/>
          </w:tcPr>
          <w:p w:rsidR="00D14EB7" w:rsidRPr="00D14EB7" w:rsidRDefault="00D14EB7" w:rsidP="00D14EB7">
            <w:pPr>
              <w:ind w:left="360"/>
              <w:rPr>
                <w:rFonts w:ascii="Arial" w:hAnsi="Arial" w:cs="Arial"/>
                <w:color w:val="000000"/>
                <w:sz w:val="20"/>
              </w:rPr>
            </w:pPr>
          </w:p>
          <w:p w:rsidR="00AD112C" w:rsidRPr="00D14EB7" w:rsidRDefault="00AD112C" w:rsidP="00D14EB7">
            <w:pPr>
              <w:pStyle w:val="ListParagraph"/>
              <w:numPr>
                <w:ilvl w:val="0"/>
                <w:numId w:val="23"/>
              </w:numPr>
              <w:rPr>
                <w:rFonts w:ascii="Arial" w:hAnsi="Arial" w:cs="Arial"/>
                <w:color w:val="000000"/>
                <w:sz w:val="20"/>
              </w:rPr>
            </w:pPr>
            <w:r w:rsidRPr="00D14EB7">
              <w:rPr>
                <w:rFonts w:ascii="Arial" w:hAnsi="Arial" w:cs="Arial"/>
                <w:color w:val="000000"/>
                <w:sz w:val="20"/>
              </w:rPr>
              <w:t>Provide rigorous, research-based education at the cutting edge of contemporary debates on e</w:t>
            </w:r>
            <w:r w:rsidRPr="00D14EB7">
              <w:rPr>
                <w:rFonts w:ascii="Arial" w:hAnsi="Arial" w:cs="Arial"/>
                <w:bCs/>
                <w:sz w:val="20"/>
              </w:rPr>
              <w:t xml:space="preserve">nvironmental policy </w:t>
            </w:r>
            <w:r w:rsidRPr="00D14EB7">
              <w:rPr>
                <w:rFonts w:ascii="Arial" w:hAnsi="Arial" w:cs="Arial"/>
                <w:bCs/>
                <w:color w:val="000000"/>
                <w:sz w:val="20"/>
              </w:rPr>
              <w:t>and regulation</w:t>
            </w:r>
            <w:r w:rsidRPr="00D14EB7">
              <w:rPr>
                <w:rFonts w:ascii="Arial" w:hAnsi="Arial" w:cs="Arial"/>
                <w:color w:val="000000"/>
                <w:sz w:val="20"/>
              </w:rPr>
              <w:t xml:space="preserve"> to outstanding st</w:t>
            </w:r>
            <w:r w:rsidR="00D14EB7" w:rsidRPr="00D14EB7">
              <w:rPr>
                <w:rFonts w:ascii="Arial" w:hAnsi="Arial" w:cs="Arial"/>
                <w:color w:val="000000"/>
                <w:sz w:val="20"/>
              </w:rPr>
              <w:t>udents from the UK and overseas;</w:t>
            </w:r>
          </w:p>
          <w:p w:rsidR="00AD112C" w:rsidRPr="00D14EB7" w:rsidRDefault="00AD112C" w:rsidP="00D14EB7">
            <w:pPr>
              <w:pStyle w:val="ListParagraph"/>
              <w:numPr>
                <w:ilvl w:val="0"/>
                <w:numId w:val="23"/>
              </w:numPr>
              <w:rPr>
                <w:rFonts w:ascii="Arial" w:hAnsi="Arial" w:cs="Arial"/>
                <w:color w:val="000000"/>
                <w:sz w:val="20"/>
              </w:rPr>
            </w:pPr>
            <w:r w:rsidRPr="00D14EB7">
              <w:rPr>
                <w:rFonts w:ascii="Arial" w:hAnsi="Arial" w:cs="Arial"/>
                <w:color w:val="000000"/>
                <w:sz w:val="20"/>
              </w:rPr>
              <w:t>Develop student understanding of the principles, drivers and consequences of environmental change fr</w:t>
            </w:r>
            <w:r w:rsidR="00D14EB7" w:rsidRPr="00D14EB7">
              <w:rPr>
                <w:rFonts w:ascii="Arial" w:hAnsi="Arial" w:cs="Arial"/>
                <w:color w:val="000000"/>
                <w:sz w:val="20"/>
              </w:rPr>
              <w:t>om a social science perspective;</w:t>
            </w:r>
          </w:p>
          <w:p w:rsidR="00AD112C" w:rsidRPr="00D14EB7" w:rsidRDefault="00AD112C" w:rsidP="00D14EB7">
            <w:pPr>
              <w:pStyle w:val="ListParagraph"/>
              <w:numPr>
                <w:ilvl w:val="0"/>
                <w:numId w:val="23"/>
              </w:numPr>
              <w:rPr>
                <w:rFonts w:ascii="Arial" w:hAnsi="Arial" w:cs="Arial"/>
                <w:sz w:val="20"/>
              </w:rPr>
            </w:pPr>
            <w:r w:rsidRPr="00D14EB7">
              <w:rPr>
                <w:rFonts w:ascii="Arial" w:hAnsi="Arial" w:cs="Arial"/>
                <w:color w:val="000000"/>
                <w:sz w:val="20"/>
              </w:rPr>
              <w:t>Provide students with a rigorous training in the social science dimensions of environmental policy and regulation</w:t>
            </w:r>
            <w:r w:rsidR="00D14EB7" w:rsidRPr="00D14EB7">
              <w:rPr>
                <w:rFonts w:ascii="Arial" w:hAnsi="Arial" w:cs="Arial"/>
                <w:color w:val="000000"/>
                <w:sz w:val="20"/>
              </w:rPr>
              <w:t>;</w:t>
            </w:r>
          </w:p>
          <w:p w:rsidR="00AD112C" w:rsidRPr="00D14EB7" w:rsidRDefault="00AD112C" w:rsidP="00D14EB7">
            <w:pPr>
              <w:pStyle w:val="ListParagraph"/>
              <w:numPr>
                <w:ilvl w:val="0"/>
                <w:numId w:val="23"/>
              </w:numPr>
              <w:rPr>
                <w:rFonts w:ascii="Arial" w:hAnsi="Arial" w:cs="Arial"/>
                <w:sz w:val="20"/>
              </w:rPr>
            </w:pPr>
            <w:r w:rsidRPr="00D14EB7">
              <w:rPr>
                <w:rFonts w:ascii="Arial" w:hAnsi="Arial" w:cs="Arial"/>
                <w:sz w:val="20"/>
              </w:rPr>
              <w:t>Enable students to gain a deeper understanding of the tools available for environmental policy and regulation, and the diverse contexts within which they operate;</w:t>
            </w:r>
          </w:p>
          <w:p w:rsidR="00AD112C" w:rsidRPr="00D14EB7" w:rsidRDefault="00AD112C" w:rsidP="00D14EB7">
            <w:pPr>
              <w:pStyle w:val="ListParagraph"/>
              <w:numPr>
                <w:ilvl w:val="0"/>
                <w:numId w:val="23"/>
              </w:numPr>
              <w:rPr>
                <w:rFonts w:ascii="Arial" w:hAnsi="Arial" w:cs="Arial"/>
                <w:color w:val="000000"/>
                <w:sz w:val="20"/>
              </w:rPr>
            </w:pPr>
            <w:r w:rsidRPr="00D14EB7">
              <w:rPr>
                <w:rFonts w:ascii="Arial" w:hAnsi="Arial" w:cs="Arial"/>
                <w:sz w:val="20"/>
              </w:rPr>
              <w:t>Equip students with the analytical skills needed to assess and evaluate the consequences of policies, plans and projects for the economy, for society and for the natural environment.</w:t>
            </w:r>
          </w:p>
          <w:p w:rsidR="00AD112C" w:rsidRPr="00D14EB7" w:rsidRDefault="00AD112C" w:rsidP="00D14EB7">
            <w:pPr>
              <w:ind w:left="360"/>
              <w:rPr>
                <w:rFonts w:ascii="Arial" w:hAnsi="Arial" w:cs="Arial"/>
                <w:color w:val="000000"/>
                <w:sz w:val="20"/>
              </w:rPr>
            </w:pPr>
          </w:p>
        </w:tc>
      </w:tr>
    </w:tbl>
    <w:p w:rsidR="00AD112C" w:rsidRPr="00D14EB7" w:rsidRDefault="00AD112C">
      <w:pPr>
        <w:rPr>
          <w:rFonts w:ascii="Arial" w:hAnsi="Arial" w:cs="Arial"/>
          <w:sz w:val="20"/>
        </w:rPr>
      </w:pPr>
    </w:p>
    <w:p w:rsidR="00D14EB7" w:rsidRPr="00D14EB7" w:rsidRDefault="00D14EB7">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D14EB7" w:rsidRPr="00D14EB7" w:rsidTr="00695331">
        <w:trPr>
          <w:cantSplit/>
        </w:trPr>
        <w:tc>
          <w:tcPr>
            <w:tcW w:w="9243" w:type="dxa"/>
          </w:tcPr>
          <w:p w:rsidR="00D14EB7" w:rsidRPr="00D14EB7" w:rsidRDefault="00D14EB7" w:rsidP="00695331">
            <w:pPr>
              <w:rPr>
                <w:rFonts w:ascii="Arial" w:hAnsi="Arial" w:cs="Arial"/>
                <w:color w:val="000000"/>
                <w:sz w:val="20"/>
              </w:rPr>
            </w:pPr>
            <w:r w:rsidRPr="00D14EB7">
              <w:rPr>
                <w:rFonts w:ascii="Arial" w:hAnsi="Arial" w:cs="Arial"/>
                <w:b/>
                <w:bCs/>
                <w:sz w:val="20"/>
              </w:rPr>
              <w:t>11. Programme outcomes: knowledge and understanding; skills and other attributes</w:t>
            </w:r>
          </w:p>
        </w:tc>
      </w:tr>
      <w:tr w:rsidR="00D14EB7" w:rsidRPr="00D14EB7" w:rsidTr="00695331">
        <w:trPr>
          <w:cantSplit/>
        </w:trPr>
        <w:tc>
          <w:tcPr>
            <w:tcW w:w="9243" w:type="dxa"/>
          </w:tcPr>
          <w:p w:rsidR="00D14EB7" w:rsidRPr="00D14EB7" w:rsidRDefault="00D14EB7" w:rsidP="00695331">
            <w:pPr>
              <w:ind w:left="360"/>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At the end of the programme students will have a thorough and critical understanding of:</w:t>
            </w:r>
          </w:p>
          <w:p w:rsidR="00D14EB7" w:rsidRPr="00D14EB7" w:rsidRDefault="00D14EB7" w:rsidP="00D14EB7">
            <w:pPr>
              <w:rPr>
                <w:rFonts w:ascii="Arial" w:hAnsi="Arial" w:cs="Arial"/>
                <w:color w:val="000000"/>
                <w:sz w:val="20"/>
              </w:rPr>
            </w:pP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The ways in which diverse social, economic and environmental processes create a need for different forms of policy int</w:t>
            </w:r>
            <w:r w:rsidRPr="00D14EB7">
              <w:rPr>
                <w:rFonts w:ascii="Arial" w:hAnsi="Arial" w:cs="Arial"/>
                <w:color w:val="000000"/>
                <w:sz w:val="20"/>
              </w:rPr>
              <w:t>ervention in different contexts;</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The nature of the processes that shape the design, delivery and impact of different environmental p</w:t>
            </w:r>
            <w:r w:rsidRPr="00D14EB7">
              <w:rPr>
                <w:rFonts w:ascii="Arial" w:hAnsi="Arial" w:cs="Arial"/>
                <w:color w:val="000000"/>
                <w:sz w:val="20"/>
              </w:rPr>
              <w:t>olicies, plans and regulations;</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The nature and influence of the different actors, institutions and instruments associated with environmental policy</w:t>
            </w:r>
            <w:r w:rsidRPr="00D14EB7">
              <w:rPr>
                <w:rFonts w:ascii="Arial" w:hAnsi="Arial" w:cs="Arial"/>
                <w:color w:val="000000"/>
                <w:sz w:val="20"/>
              </w:rPr>
              <w:t xml:space="preserve"> and regulation;</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The ways in which different environmental policies, plans and regulations can be assessed and evaluated.</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At the end of the programme, students will be able to:</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Identify, analyse and suggest solutions to both theoretical and practical pro</w:t>
            </w:r>
            <w:r w:rsidRPr="00D14EB7">
              <w:rPr>
                <w:rFonts w:ascii="Arial" w:hAnsi="Arial" w:cs="Arial"/>
                <w:color w:val="000000"/>
                <w:sz w:val="20"/>
              </w:rPr>
              <w:t>blems of environmental policies;</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 xml:space="preserve">Write clear, succinct, analytical papers, based on evidence derived from </w:t>
            </w:r>
            <w:r w:rsidRPr="00D14EB7">
              <w:rPr>
                <w:rFonts w:ascii="Arial" w:hAnsi="Arial" w:cs="Arial"/>
                <w:color w:val="000000"/>
                <w:sz w:val="20"/>
              </w:rPr>
              <w:t>multiple sources;</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Prepare and deliver effective oral presentations in small and larger groups</w:t>
            </w:r>
            <w:r w:rsidRPr="00D14EB7">
              <w:rPr>
                <w:rFonts w:ascii="Arial" w:hAnsi="Arial" w:cs="Arial"/>
                <w:color w:val="000000"/>
                <w:sz w:val="20"/>
              </w:rPr>
              <w:t>;</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Transfer skills learned via: appreciation of public policy responses and problems; use of general communication, literary an</w:t>
            </w:r>
            <w:r w:rsidRPr="00D14EB7">
              <w:rPr>
                <w:rFonts w:ascii="Arial" w:hAnsi="Arial" w:cs="Arial"/>
                <w:color w:val="000000"/>
                <w:sz w:val="20"/>
              </w:rPr>
              <w:t>d information-processing skills;</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Demonstrate the ability to work independently, planning and producing lucid, cohe</w:t>
            </w:r>
            <w:r w:rsidRPr="00D14EB7">
              <w:rPr>
                <w:rFonts w:ascii="Arial" w:hAnsi="Arial" w:cs="Arial"/>
                <w:color w:val="000000"/>
                <w:sz w:val="20"/>
              </w:rPr>
              <w:t>rent, analytical written papers;</w:t>
            </w:r>
          </w:p>
          <w:p w:rsidR="00D14EB7" w:rsidRPr="00D14EB7" w:rsidRDefault="00D14EB7" w:rsidP="00D14EB7">
            <w:pPr>
              <w:pStyle w:val="ListParagraph"/>
              <w:numPr>
                <w:ilvl w:val="0"/>
                <w:numId w:val="23"/>
              </w:numPr>
              <w:rPr>
                <w:rFonts w:ascii="Arial" w:hAnsi="Arial" w:cs="Arial"/>
                <w:color w:val="000000"/>
                <w:sz w:val="20"/>
              </w:rPr>
            </w:pPr>
            <w:r w:rsidRPr="00D14EB7">
              <w:rPr>
                <w:rFonts w:ascii="Arial" w:hAnsi="Arial" w:cs="Arial"/>
                <w:color w:val="000000"/>
                <w:sz w:val="20"/>
              </w:rPr>
              <w:t>Design and apply appropriate research methodologies to a wide range of issues, having demonstrated these skills in relation to a selected topic of their choice.</w:t>
            </w:r>
          </w:p>
          <w:p w:rsidR="00D14EB7" w:rsidRPr="00D14EB7" w:rsidRDefault="00D14EB7" w:rsidP="00695331">
            <w:pPr>
              <w:ind w:left="360"/>
              <w:rPr>
                <w:rFonts w:ascii="Arial" w:hAnsi="Arial" w:cs="Arial"/>
                <w:color w:val="000000"/>
                <w:sz w:val="20"/>
              </w:rPr>
            </w:pPr>
          </w:p>
        </w:tc>
      </w:tr>
    </w:tbl>
    <w:p w:rsidR="00D14EB7" w:rsidRDefault="00D14EB7">
      <w:pPr>
        <w:rPr>
          <w:rFonts w:ascii="Arial" w:hAnsi="Arial" w:cs="Arial"/>
          <w:sz w:val="20"/>
        </w:rPr>
      </w:pPr>
    </w:p>
    <w:p w:rsidR="00D14EB7" w:rsidRPr="00D14EB7" w:rsidRDefault="00D14EB7">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D14EB7" w:rsidRPr="00D14EB7" w:rsidTr="00695331">
        <w:trPr>
          <w:cantSplit/>
        </w:trPr>
        <w:tc>
          <w:tcPr>
            <w:tcW w:w="9243" w:type="dxa"/>
          </w:tcPr>
          <w:p w:rsidR="00D14EB7" w:rsidRPr="00D14EB7" w:rsidRDefault="00D14EB7" w:rsidP="00695331">
            <w:pPr>
              <w:rPr>
                <w:rFonts w:ascii="Arial" w:hAnsi="Arial" w:cs="Arial"/>
                <w:color w:val="000000"/>
                <w:sz w:val="20"/>
              </w:rPr>
            </w:pPr>
            <w:r w:rsidRPr="00D14EB7">
              <w:rPr>
                <w:rFonts w:ascii="Arial" w:hAnsi="Arial" w:cs="Arial"/>
                <w:b/>
                <w:bCs/>
                <w:sz w:val="20"/>
              </w:rPr>
              <w:lastRenderedPageBreak/>
              <w:t>12. Teaching, learning and assessment strategies to enable outcomes to be achieved and demonstrated</w:t>
            </w:r>
          </w:p>
        </w:tc>
      </w:tr>
      <w:tr w:rsidR="00D14EB7" w:rsidRPr="00D14EB7" w:rsidTr="00695331">
        <w:trPr>
          <w:cantSplit/>
        </w:trPr>
        <w:tc>
          <w:tcPr>
            <w:tcW w:w="9243" w:type="dxa"/>
          </w:tcPr>
          <w:p w:rsidR="00D14EB7" w:rsidRPr="00D14EB7" w:rsidRDefault="00D14EB7" w:rsidP="00695331">
            <w:pPr>
              <w:ind w:left="360"/>
              <w:rPr>
                <w:rFonts w:ascii="Arial" w:hAnsi="Arial" w:cs="Arial"/>
                <w:color w:val="000000"/>
                <w:sz w:val="20"/>
              </w:rPr>
            </w:pPr>
          </w:p>
          <w:p w:rsidR="00D14EB7" w:rsidRPr="00D14EB7" w:rsidRDefault="00D14EB7" w:rsidP="00D14EB7">
            <w:pPr>
              <w:pStyle w:val="Heading1"/>
              <w:rPr>
                <w:rFonts w:ascii="Arial" w:hAnsi="Arial" w:cs="Arial"/>
                <w:color w:val="000000"/>
                <w:sz w:val="20"/>
              </w:rPr>
            </w:pPr>
            <w:r w:rsidRPr="00D14EB7">
              <w:rPr>
                <w:rFonts w:ascii="Arial" w:hAnsi="Arial" w:cs="Arial"/>
                <w:color w:val="000000"/>
                <w:sz w:val="20"/>
              </w:rPr>
              <w:t xml:space="preserve">Teaching/learning/assessment </w:t>
            </w:r>
            <w:r w:rsidRPr="00D14EB7">
              <w:rPr>
                <w:rFonts w:ascii="Arial" w:hAnsi="Arial" w:cs="Arial"/>
                <w:color w:val="000000"/>
                <w:sz w:val="20"/>
              </w:rPr>
              <w:t>strategy</w:t>
            </w:r>
          </w:p>
          <w:p w:rsidR="00D14EB7" w:rsidRPr="00D14EB7" w:rsidRDefault="00D14EB7" w:rsidP="00D14EB7">
            <w:pPr>
              <w:rPr>
                <w:rFonts w:ascii="Arial" w:hAnsi="Arial" w:cs="Arial"/>
                <w:color w:val="000000"/>
                <w:sz w:val="20"/>
              </w:rPr>
            </w:pPr>
            <w:r w:rsidRPr="00D14EB7">
              <w:rPr>
                <w:rFonts w:ascii="Arial" w:hAnsi="Arial" w:cs="Arial"/>
                <w:color w:val="000000"/>
                <w:sz w:val="20"/>
              </w:rPr>
              <w:t>Students acquire their detailed knowledge and understanding of the course through lectures, seminars and guided independent study. Considerable emphasis is placed on lecturer-guided discussion among students and with teachers and invited speakers, both in seminars and individual sessions.</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All of those involved in programme delivery are at the forefront of research in the field – and as such, students have direct insight into current thinking in the field.  This aspect of provision is further enhanced through the array of LSE public lectures, which include senior national and international policy makers and researchers in this and related fields.</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Students are strongly encouraged to make use of electronic information sources, where appropriate. All course reading lists include references to current research, and other primary sources including official documents and web references, as well as original academic works, only using standard texts for introductory material. Students are expected to read widely during the programme.</w:t>
            </w:r>
          </w:p>
          <w:p w:rsidR="00D14EB7" w:rsidRPr="00D14EB7" w:rsidRDefault="00D14EB7" w:rsidP="00D14EB7">
            <w:pPr>
              <w:rPr>
                <w:rFonts w:ascii="Arial" w:hAnsi="Arial" w:cs="Arial"/>
                <w:color w:val="000000"/>
                <w:sz w:val="20"/>
              </w:rPr>
            </w:pPr>
          </w:p>
          <w:p w:rsidR="00D14EB7" w:rsidRPr="00D14EB7" w:rsidRDefault="00D14EB7" w:rsidP="00D14EB7">
            <w:pPr>
              <w:pStyle w:val="Heading1"/>
              <w:rPr>
                <w:rFonts w:ascii="Arial" w:hAnsi="Arial" w:cs="Arial"/>
                <w:color w:val="000000"/>
                <w:sz w:val="20"/>
              </w:rPr>
            </w:pPr>
            <w:r w:rsidRPr="00D14EB7">
              <w:rPr>
                <w:rFonts w:ascii="Arial" w:hAnsi="Arial" w:cs="Arial"/>
                <w:color w:val="000000"/>
                <w:sz w:val="20"/>
              </w:rPr>
              <w:t>Assessment</w:t>
            </w:r>
          </w:p>
          <w:p w:rsidR="00D14EB7" w:rsidRPr="00D14EB7" w:rsidRDefault="00D14EB7" w:rsidP="00D14EB7">
            <w:pPr>
              <w:rPr>
                <w:rFonts w:ascii="Arial" w:hAnsi="Arial" w:cs="Arial"/>
                <w:color w:val="000000"/>
                <w:sz w:val="20"/>
              </w:rPr>
            </w:pPr>
            <w:r w:rsidRPr="00D14EB7">
              <w:rPr>
                <w:rFonts w:ascii="Arial" w:hAnsi="Arial" w:cs="Arial"/>
                <w:color w:val="000000"/>
                <w:sz w:val="20"/>
              </w:rPr>
              <w:t>Each full taught unit is assessed by a 3 hour unseen written examination (75%) plus a 3,000 word essay (25%). Each half-unit is assessed through a two-hour exam (100%). The environmental project (dissertation), which represents the equivalent of a full-unit course, is assessed through one 10,000 word dissertation (100%) on a research topic of the student’s choice.</w:t>
            </w:r>
          </w:p>
          <w:p w:rsidR="00D14EB7" w:rsidRPr="00D14EB7" w:rsidRDefault="00D14EB7" w:rsidP="00695331">
            <w:pPr>
              <w:ind w:left="360"/>
              <w:rPr>
                <w:rFonts w:ascii="Arial" w:hAnsi="Arial" w:cs="Arial"/>
                <w:color w:val="000000"/>
                <w:sz w:val="20"/>
              </w:rPr>
            </w:pPr>
          </w:p>
          <w:p w:rsidR="00D14EB7" w:rsidRPr="00D14EB7" w:rsidRDefault="00D14EB7" w:rsidP="00D14EB7">
            <w:pPr>
              <w:pStyle w:val="Heading1"/>
              <w:rPr>
                <w:rFonts w:ascii="Arial" w:hAnsi="Arial" w:cs="Arial"/>
                <w:color w:val="000000"/>
                <w:sz w:val="20"/>
              </w:rPr>
            </w:pPr>
            <w:r w:rsidRPr="00D14EB7">
              <w:rPr>
                <w:rFonts w:ascii="Arial" w:hAnsi="Arial" w:cs="Arial"/>
                <w:color w:val="000000"/>
                <w:sz w:val="20"/>
              </w:rPr>
              <w:t>Teaching and learning strategies</w:t>
            </w:r>
          </w:p>
          <w:p w:rsidR="00D14EB7" w:rsidRPr="00D14EB7" w:rsidRDefault="00D14EB7" w:rsidP="00D14EB7">
            <w:pPr>
              <w:rPr>
                <w:rFonts w:ascii="Arial" w:hAnsi="Arial" w:cs="Arial"/>
                <w:color w:val="000000"/>
                <w:sz w:val="20"/>
              </w:rPr>
            </w:pPr>
            <w:r w:rsidRPr="00D14EB7">
              <w:rPr>
                <w:rFonts w:ascii="Arial" w:hAnsi="Arial" w:cs="Arial"/>
                <w:color w:val="000000"/>
                <w:sz w:val="20"/>
              </w:rPr>
              <w:t>Skills are developed through guidance and feedback from lecturers in the context of:</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Regular seminar presentations.</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Preparation of a diagnostic assignment and various course essays throughout the year.</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Academic advisor meetings during the year as well as ad hoc meetings with staff.</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Three dissertation supervision sessions.</w:t>
            </w:r>
          </w:p>
          <w:p w:rsidR="00D14EB7" w:rsidRPr="00D14EB7" w:rsidRDefault="00D14EB7" w:rsidP="00D14EB7">
            <w:pPr>
              <w:rPr>
                <w:rFonts w:ascii="Arial" w:hAnsi="Arial" w:cs="Arial"/>
                <w:color w:val="000000"/>
                <w:sz w:val="20"/>
              </w:rPr>
            </w:pPr>
          </w:p>
          <w:p w:rsidR="00D14EB7" w:rsidRPr="00D14EB7" w:rsidRDefault="00D14EB7" w:rsidP="00D14EB7">
            <w:pPr>
              <w:pStyle w:val="Heading1"/>
              <w:rPr>
                <w:rFonts w:ascii="Arial" w:hAnsi="Arial" w:cs="Arial"/>
                <w:color w:val="000000"/>
                <w:sz w:val="20"/>
              </w:rPr>
            </w:pPr>
            <w:r w:rsidRPr="00D14EB7">
              <w:rPr>
                <w:rFonts w:ascii="Arial" w:hAnsi="Arial" w:cs="Arial"/>
                <w:color w:val="000000"/>
                <w:sz w:val="20"/>
              </w:rPr>
              <w:t>Assessment</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Formative assessment takes the form of feedback from lecturers on course work and within seminars and is central to student development.</w:t>
            </w:r>
          </w:p>
          <w:p w:rsidR="00D14EB7" w:rsidRPr="00D14EB7" w:rsidRDefault="00D14EB7" w:rsidP="00D14EB7">
            <w:pPr>
              <w:rPr>
                <w:rFonts w:ascii="Arial" w:hAnsi="Arial" w:cs="Arial"/>
                <w:color w:val="000000"/>
                <w:sz w:val="20"/>
              </w:rPr>
            </w:pPr>
          </w:p>
          <w:p w:rsidR="00D14EB7" w:rsidRPr="00D14EB7" w:rsidRDefault="00D14EB7" w:rsidP="00D14EB7">
            <w:pPr>
              <w:rPr>
                <w:rFonts w:ascii="Arial" w:hAnsi="Arial" w:cs="Arial"/>
                <w:color w:val="000000"/>
                <w:sz w:val="20"/>
              </w:rPr>
            </w:pPr>
            <w:r w:rsidRPr="00D14EB7">
              <w:rPr>
                <w:rFonts w:ascii="Arial" w:hAnsi="Arial" w:cs="Arial"/>
                <w:color w:val="000000"/>
                <w:sz w:val="20"/>
              </w:rPr>
              <w:t>The 10,000 word dissertation draws together a number of the students’ intellectual skills as well as their understanding of fundamental issues in an integrated commentary on original research. The dissertation may be based on original statistical analysis and/or original fieldwork.</w:t>
            </w:r>
          </w:p>
          <w:p w:rsidR="00D14EB7" w:rsidRPr="00D14EB7" w:rsidRDefault="00D14EB7" w:rsidP="00D14EB7">
            <w:pPr>
              <w:rPr>
                <w:rFonts w:ascii="Arial" w:hAnsi="Arial" w:cs="Arial"/>
                <w:color w:val="000000"/>
                <w:sz w:val="20"/>
              </w:rPr>
            </w:pPr>
          </w:p>
        </w:tc>
      </w:tr>
    </w:tbl>
    <w:p w:rsidR="00D14EB7" w:rsidRPr="00D14EB7" w:rsidRDefault="00D14EB7">
      <w:pPr>
        <w:rPr>
          <w:rFonts w:ascii="Arial" w:hAnsi="Arial" w:cs="Arial"/>
          <w:sz w:val="20"/>
        </w:rPr>
      </w:pPr>
    </w:p>
    <w:p w:rsidR="00AD112C" w:rsidRPr="00D14EB7" w:rsidRDefault="00AD112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AD112C" w:rsidRPr="00D14EB7">
        <w:trPr>
          <w:trHeight w:val="483"/>
        </w:trPr>
        <w:tc>
          <w:tcPr>
            <w:tcW w:w="9243" w:type="dxa"/>
            <w:tcBorders>
              <w:bottom w:val="single" w:sz="4" w:space="0" w:color="auto"/>
            </w:tcBorders>
          </w:tcPr>
          <w:p w:rsidR="00AD112C" w:rsidRPr="00D14EB7" w:rsidRDefault="00AD112C">
            <w:pPr>
              <w:rPr>
                <w:rFonts w:ascii="Arial" w:hAnsi="Arial" w:cs="Arial"/>
                <w:color w:val="000000"/>
                <w:sz w:val="20"/>
              </w:rPr>
            </w:pPr>
            <w:r w:rsidRPr="00D14EB7">
              <w:rPr>
                <w:rFonts w:ascii="Arial" w:hAnsi="Arial" w:cs="Arial"/>
                <w:b/>
                <w:bCs/>
                <w:color w:val="000000"/>
                <w:sz w:val="20"/>
              </w:rPr>
              <w:t>13.</w:t>
            </w:r>
            <w:r w:rsidRPr="00D14EB7">
              <w:rPr>
                <w:rFonts w:ascii="Arial" w:hAnsi="Arial" w:cs="Arial"/>
                <w:color w:val="000000"/>
                <w:sz w:val="20"/>
              </w:rPr>
              <w:t xml:space="preserve"> </w:t>
            </w:r>
            <w:r w:rsidRPr="00D14EB7">
              <w:rPr>
                <w:rFonts w:ascii="Arial" w:hAnsi="Arial" w:cs="Arial"/>
                <w:b/>
                <w:color w:val="000000"/>
                <w:sz w:val="20"/>
              </w:rPr>
              <w:t>Programmes structures and requirements, levels, modules, credits and awards</w:t>
            </w:r>
            <w:r w:rsidRPr="00D14EB7">
              <w:rPr>
                <w:rFonts w:ascii="Arial" w:hAnsi="Arial" w:cs="Arial"/>
                <w:color w:val="000000"/>
                <w:sz w:val="20"/>
              </w:rPr>
              <w:t>.</w:t>
            </w:r>
          </w:p>
          <w:p w:rsidR="00AD112C" w:rsidRPr="00D14EB7" w:rsidRDefault="00A00198" w:rsidP="00A00198">
            <w:pPr>
              <w:rPr>
                <w:rFonts w:ascii="Arial" w:hAnsi="Arial" w:cs="Arial"/>
                <w:color w:val="000000"/>
                <w:sz w:val="20"/>
              </w:rPr>
            </w:pPr>
            <w:r w:rsidRPr="00D14EB7">
              <w:rPr>
                <w:rFonts w:ascii="Arial" w:hAnsi="Arial" w:cs="Arial"/>
                <w:color w:val="000000"/>
                <w:sz w:val="20"/>
              </w:rPr>
              <w:t xml:space="preserve">See the </w:t>
            </w:r>
            <w:hyperlink r:id="rId6" w:history="1">
              <w:r w:rsidRPr="00D14EB7">
                <w:rPr>
                  <w:rStyle w:val="Hyperlink"/>
                  <w:rFonts w:ascii="Arial" w:hAnsi="Arial" w:cs="Arial"/>
                  <w:sz w:val="20"/>
                </w:rPr>
                <w:t>MSc Environmental Policy and Regulation</w:t>
              </w:r>
            </w:hyperlink>
            <w:r w:rsidRPr="00D14EB7">
              <w:rPr>
                <w:rFonts w:ascii="Arial" w:hAnsi="Arial" w:cs="Arial"/>
                <w:color w:val="000000"/>
                <w:sz w:val="20"/>
              </w:rPr>
              <w:t xml:space="preserve"> programme regulations.</w:t>
            </w:r>
          </w:p>
        </w:tc>
      </w:tr>
    </w:tbl>
    <w:p w:rsidR="00AD112C" w:rsidRDefault="00AD112C">
      <w:pPr>
        <w:rPr>
          <w:rFonts w:ascii="Arial" w:hAnsi="Arial" w:cs="Arial"/>
          <w:sz w:val="20"/>
        </w:rPr>
      </w:pPr>
    </w:p>
    <w:p w:rsidR="00D14EB7" w:rsidRPr="00D14EB7" w:rsidRDefault="00D14EB7">
      <w:pPr>
        <w:rPr>
          <w:rFonts w:ascii="Arial" w:hAnsi="Arial" w:cs="Arial"/>
          <w:sz w:val="20"/>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AD112C" w:rsidRPr="00D14EB7">
        <w:tc>
          <w:tcPr>
            <w:tcW w:w="9243" w:type="dxa"/>
          </w:tcPr>
          <w:p w:rsidR="00AD112C" w:rsidRPr="00D14EB7" w:rsidRDefault="00AD112C">
            <w:pPr>
              <w:rPr>
                <w:rFonts w:ascii="Arial" w:hAnsi="Arial" w:cs="Arial"/>
                <w:b/>
                <w:color w:val="000000"/>
                <w:sz w:val="20"/>
              </w:rPr>
            </w:pPr>
            <w:r w:rsidRPr="00D14EB7">
              <w:rPr>
                <w:rFonts w:ascii="Arial" w:hAnsi="Arial" w:cs="Arial"/>
                <w:b/>
                <w:bCs/>
                <w:color w:val="000000"/>
                <w:sz w:val="20"/>
              </w:rPr>
              <w:t>14.</w:t>
            </w:r>
            <w:r w:rsidRPr="00D14EB7">
              <w:rPr>
                <w:rFonts w:ascii="Arial" w:hAnsi="Arial" w:cs="Arial"/>
                <w:color w:val="000000"/>
                <w:sz w:val="20"/>
              </w:rPr>
              <w:t xml:space="preserve"> </w:t>
            </w:r>
            <w:r w:rsidRPr="00D14EB7">
              <w:rPr>
                <w:rFonts w:ascii="Arial" w:hAnsi="Arial" w:cs="Arial"/>
                <w:b/>
                <w:color w:val="000000"/>
                <w:sz w:val="20"/>
              </w:rPr>
              <w:t>Criteria for admission to the programme</w:t>
            </w:r>
          </w:p>
          <w:p w:rsidR="00D14EB7" w:rsidRPr="00D14EB7" w:rsidRDefault="00D14EB7">
            <w:pPr>
              <w:rPr>
                <w:rFonts w:ascii="Arial" w:hAnsi="Arial" w:cs="Arial"/>
                <w:b/>
                <w:color w:val="000000"/>
                <w:sz w:val="20"/>
              </w:rPr>
            </w:pPr>
          </w:p>
          <w:p w:rsidR="00D14EB7" w:rsidRPr="00D14EB7" w:rsidRDefault="00AD112C" w:rsidP="000E2B84">
            <w:pPr>
              <w:rPr>
                <w:rFonts w:ascii="Arial" w:hAnsi="Arial" w:cs="Arial"/>
                <w:color w:val="000000"/>
                <w:sz w:val="20"/>
              </w:rPr>
            </w:pPr>
            <w:r w:rsidRPr="00D14EB7">
              <w:rPr>
                <w:rFonts w:ascii="Arial" w:hAnsi="Arial" w:cs="Arial"/>
                <w:color w:val="000000"/>
                <w:sz w:val="20"/>
              </w:rPr>
              <w:t xml:space="preserve">Students are normally expected to have obtained a good upper second (or equivalent) in an honours undergraduate degree programme. Student selection also takes into account relevant work experience (if applicable) and the academic references provided with the application. Particular consideration may be given to mature students with work experience. There are requirements for </w:t>
            </w:r>
          </w:p>
          <w:p w:rsidR="00AD112C" w:rsidRPr="00D14EB7" w:rsidRDefault="00AD112C" w:rsidP="000E2B84">
            <w:pPr>
              <w:rPr>
                <w:rFonts w:ascii="Arial" w:hAnsi="Arial" w:cs="Arial"/>
                <w:color w:val="000000"/>
                <w:sz w:val="20"/>
              </w:rPr>
            </w:pPr>
            <w:r w:rsidRPr="00D14EB7">
              <w:rPr>
                <w:rFonts w:ascii="Arial" w:hAnsi="Arial" w:cs="Arial"/>
                <w:color w:val="000000"/>
                <w:sz w:val="20"/>
              </w:rPr>
              <w:t>applications who have not been taught in English before. There are no requirements with regard to GMAT and GRE.</w:t>
            </w:r>
          </w:p>
          <w:p w:rsidR="00D14EB7" w:rsidRPr="00D14EB7" w:rsidRDefault="00D14EB7" w:rsidP="000E2B84">
            <w:pPr>
              <w:rPr>
                <w:rFonts w:ascii="Arial" w:hAnsi="Arial" w:cs="Arial"/>
                <w:color w:val="000000"/>
                <w:sz w:val="20"/>
              </w:rPr>
            </w:pPr>
          </w:p>
        </w:tc>
      </w:tr>
      <w:tr w:rsidR="00AD112C" w:rsidRPr="00D14EB7">
        <w:tc>
          <w:tcPr>
            <w:tcW w:w="9243" w:type="dxa"/>
          </w:tcPr>
          <w:p w:rsidR="00AD112C" w:rsidRPr="00D14EB7" w:rsidRDefault="00AD112C">
            <w:pPr>
              <w:rPr>
                <w:rFonts w:ascii="Arial" w:hAnsi="Arial" w:cs="Arial"/>
                <w:b/>
                <w:color w:val="000000"/>
                <w:sz w:val="20"/>
              </w:rPr>
            </w:pPr>
            <w:r w:rsidRPr="00D14EB7">
              <w:rPr>
                <w:rFonts w:ascii="Arial" w:hAnsi="Arial" w:cs="Arial"/>
                <w:b/>
                <w:bCs/>
                <w:color w:val="000000"/>
                <w:sz w:val="20"/>
              </w:rPr>
              <w:lastRenderedPageBreak/>
              <w:t>15.</w:t>
            </w:r>
            <w:r w:rsidRPr="00D14EB7">
              <w:rPr>
                <w:rFonts w:ascii="Arial" w:hAnsi="Arial" w:cs="Arial"/>
                <w:color w:val="000000"/>
                <w:sz w:val="20"/>
              </w:rPr>
              <w:t xml:space="preserve"> </w:t>
            </w:r>
            <w:r w:rsidRPr="00D14EB7">
              <w:rPr>
                <w:rFonts w:ascii="Arial" w:hAnsi="Arial" w:cs="Arial"/>
                <w:b/>
                <w:color w:val="000000"/>
                <w:sz w:val="20"/>
              </w:rPr>
              <w:t>Indicators of quality</w:t>
            </w:r>
          </w:p>
          <w:p w:rsidR="00D14EB7" w:rsidRPr="00D14EB7" w:rsidRDefault="00D14EB7">
            <w:pPr>
              <w:rPr>
                <w:rFonts w:ascii="Arial" w:hAnsi="Arial" w:cs="Arial"/>
                <w:color w:val="000000"/>
                <w:sz w:val="20"/>
              </w:rPr>
            </w:pPr>
          </w:p>
          <w:p w:rsidR="00AD112C" w:rsidRPr="00D14EB7" w:rsidRDefault="00AD112C">
            <w:pPr>
              <w:rPr>
                <w:rFonts w:ascii="Arial" w:hAnsi="Arial" w:cs="Arial"/>
                <w:color w:val="000000"/>
                <w:sz w:val="20"/>
              </w:rPr>
            </w:pPr>
            <w:r w:rsidRPr="00D14EB7">
              <w:rPr>
                <w:rFonts w:ascii="Arial" w:hAnsi="Arial" w:cs="Arial"/>
                <w:color w:val="000000"/>
                <w:sz w:val="20"/>
              </w:rPr>
              <w:t>RAE Rating 2001: 5.</w:t>
            </w:r>
          </w:p>
          <w:p w:rsidR="00CB40DD" w:rsidRPr="00D14EB7" w:rsidRDefault="00CB40DD">
            <w:pPr>
              <w:rPr>
                <w:rFonts w:ascii="Arial" w:hAnsi="Arial" w:cs="Arial"/>
                <w:color w:val="000000"/>
                <w:sz w:val="20"/>
              </w:rPr>
            </w:pPr>
            <w:r w:rsidRPr="00D14EB7">
              <w:rPr>
                <w:rFonts w:ascii="Arial" w:hAnsi="Arial" w:cs="Arial"/>
                <w:sz w:val="20"/>
              </w:rPr>
              <w:t xml:space="preserve">The </w:t>
            </w:r>
            <w:hyperlink r:id="rId7" w:history="1">
              <w:r w:rsidRPr="00D14EB7">
                <w:rPr>
                  <w:rStyle w:val="Hyperlink"/>
                  <w:rFonts w:ascii="Arial" w:hAnsi="Arial" w:cs="Arial"/>
                  <w:sz w:val="20"/>
                </w:rPr>
                <w:t>LSE Careers Centre website</w:t>
              </w:r>
            </w:hyperlink>
            <w:r w:rsidRPr="00D14EB7">
              <w:rPr>
                <w:rFonts w:ascii="Arial" w:hAnsi="Arial" w:cs="Arial"/>
                <w:sz w:val="20"/>
              </w:rPr>
              <w:t xml:space="preserve"> provides data on career destinations of LSE graduates</w:t>
            </w:r>
          </w:p>
          <w:p w:rsidR="00AD112C" w:rsidRPr="00D14EB7" w:rsidRDefault="00AD112C">
            <w:pPr>
              <w:rPr>
                <w:rFonts w:ascii="Arial" w:hAnsi="Arial" w:cs="Arial"/>
                <w:color w:val="000000"/>
                <w:sz w:val="20"/>
              </w:rPr>
            </w:pPr>
          </w:p>
        </w:tc>
      </w:tr>
    </w:tbl>
    <w:p w:rsidR="00AD112C" w:rsidRPr="00D14EB7" w:rsidRDefault="00AD112C">
      <w:pPr>
        <w:rPr>
          <w:rFonts w:ascii="Arial" w:hAnsi="Arial" w:cs="Arial"/>
          <w:sz w:val="20"/>
        </w:rPr>
      </w:pPr>
    </w:p>
    <w:p w:rsidR="00AD112C" w:rsidRPr="00D14EB7" w:rsidRDefault="00AD112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AD112C" w:rsidRPr="00D14EB7">
        <w:trPr>
          <w:trHeight w:val="580"/>
        </w:trPr>
        <w:tc>
          <w:tcPr>
            <w:tcW w:w="9243" w:type="dxa"/>
            <w:tcBorders>
              <w:bottom w:val="single" w:sz="4" w:space="0" w:color="auto"/>
            </w:tcBorders>
          </w:tcPr>
          <w:p w:rsidR="00AD112C" w:rsidRPr="00D14EB7" w:rsidRDefault="00AD112C">
            <w:pPr>
              <w:rPr>
                <w:rFonts w:ascii="Arial" w:hAnsi="Arial" w:cs="Arial"/>
                <w:color w:val="000000"/>
                <w:sz w:val="20"/>
              </w:rPr>
            </w:pPr>
            <w:r w:rsidRPr="00D14EB7">
              <w:rPr>
                <w:rFonts w:ascii="Arial" w:hAnsi="Arial" w:cs="Arial"/>
                <w:b/>
                <w:bCs/>
                <w:color w:val="000000"/>
                <w:sz w:val="20"/>
              </w:rPr>
              <w:t>16.</w:t>
            </w:r>
            <w:r w:rsidRPr="00D14EB7">
              <w:rPr>
                <w:rFonts w:ascii="Arial" w:hAnsi="Arial" w:cs="Arial"/>
                <w:color w:val="000000"/>
                <w:sz w:val="20"/>
              </w:rPr>
              <w:t xml:space="preserve"> </w:t>
            </w:r>
            <w:r w:rsidRPr="00D14EB7">
              <w:rPr>
                <w:rFonts w:ascii="Arial" w:hAnsi="Arial" w:cs="Arial"/>
                <w:b/>
                <w:color w:val="000000"/>
                <w:sz w:val="20"/>
              </w:rPr>
              <w:t>Methods for evaluating and improving the quality and standard of teaching</w:t>
            </w:r>
          </w:p>
          <w:p w:rsidR="00D14EB7" w:rsidRPr="00D14EB7" w:rsidRDefault="00D14EB7" w:rsidP="00D14EB7">
            <w:pPr>
              <w:ind w:left="720"/>
              <w:rPr>
                <w:rFonts w:ascii="Arial" w:hAnsi="Arial" w:cs="Arial"/>
                <w:b/>
                <w:bCs/>
                <w:color w:val="000000"/>
                <w:sz w:val="20"/>
              </w:rPr>
            </w:pPr>
          </w:p>
          <w:p w:rsidR="00CB40DD" w:rsidRPr="00D14EB7" w:rsidRDefault="00CB40DD" w:rsidP="00CB40DD">
            <w:pPr>
              <w:numPr>
                <w:ilvl w:val="0"/>
                <w:numId w:val="20"/>
              </w:numPr>
              <w:rPr>
                <w:rFonts w:ascii="Arial" w:hAnsi="Arial" w:cs="Arial"/>
                <w:b/>
                <w:bCs/>
                <w:color w:val="000000"/>
                <w:sz w:val="20"/>
              </w:rPr>
            </w:pPr>
            <w:r w:rsidRPr="00D14EB7">
              <w:rPr>
                <w:rFonts w:ascii="Arial" w:hAnsi="Arial" w:cs="Arial"/>
                <w:sz w:val="20"/>
              </w:rPr>
              <w:t>The Teaching and Learning Centre is available to monitor and observe teaching and offers constructive advice on how to improve the standard of teaching and quality</w:t>
            </w:r>
            <w:r w:rsidR="00D14EB7" w:rsidRPr="00D14EB7">
              <w:rPr>
                <w:rFonts w:ascii="Arial" w:hAnsi="Arial" w:cs="Arial"/>
                <w:sz w:val="20"/>
              </w:rPr>
              <w:t>;</w:t>
            </w:r>
          </w:p>
          <w:p w:rsidR="00CB40DD" w:rsidRPr="00D14EB7" w:rsidRDefault="00CB40DD" w:rsidP="00CB40DD">
            <w:pPr>
              <w:numPr>
                <w:ilvl w:val="0"/>
                <w:numId w:val="20"/>
              </w:numPr>
              <w:rPr>
                <w:rFonts w:ascii="Arial" w:hAnsi="Arial" w:cs="Arial"/>
                <w:b/>
                <w:bCs/>
                <w:color w:val="000000"/>
                <w:sz w:val="20"/>
              </w:rPr>
            </w:pPr>
            <w:r w:rsidRPr="00D14EB7">
              <w:rPr>
                <w:rFonts w:ascii="Arial" w:hAnsi="Arial" w:cs="Arial"/>
                <w:sz w:val="20"/>
              </w:rPr>
              <w:t>D</w:t>
            </w:r>
            <w:r w:rsidRPr="00D14EB7">
              <w:rPr>
                <w:rFonts w:ascii="Arial" w:hAnsi="Arial" w:cs="Arial"/>
                <w:bCs/>
                <w:color w:val="000000"/>
                <w:sz w:val="20"/>
              </w:rPr>
              <w:t>epartmental TLAC review once every five years</w:t>
            </w:r>
            <w:r w:rsidR="00D14EB7" w:rsidRPr="00D14EB7">
              <w:rPr>
                <w:rFonts w:ascii="Arial" w:hAnsi="Arial" w:cs="Arial"/>
                <w:bCs/>
                <w:color w:val="000000"/>
                <w:sz w:val="20"/>
              </w:rPr>
              <w:t>;</w:t>
            </w:r>
          </w:p>
          <w:p w:rsidR="00CB40DD" w:rsidRPr="00D14EB7" w:rsidRDefault="00CB40DD" w:rsidP="00CB40DD">
            <w:pPr>
              <w:numPr>
                <w:ilvl w:val="0"/>
                <w:numId w:val="20"/>
              </w:numPr>
              <w:rPr>
                <w:rFonts w:ascii="Arial" w:hAnsi="Arial" w:cs="Arial"/>
                <w:b/>
                <w:bCs/>
                <w:color w:val="000000"/>
                <w:sz w:val="20"/>
              </w:rPr>
            </w:pPr>
            <w:r w:rsidRPr="00D14EB7">
              <w:rPr>
                <w:rFonts w:ascii="Arial" w:hAnsi="Arial" w:cs="Arial"/>
                <w:bCs/>
                <w:color w:val="000000"/>
                <w:sz w:val="20"/>
              </w:rPr>
              <w:t>The Teaching Learning and Assessment Committee which regulates all aspects of teaching quality;</w:t>
            </w:r>
          </w:p>
          <w:p w:rsidR="00CB40DD" w:rsidRPr="00D14EB7" w:rsidRDefault="00CB40DD" w:rsidP="00CB40DD">
            <w:pPr>
              <w:numPr>
                <w:ilvl w:val="0"/>
                <w:numId w:val="20"/>
              </w:numPr>
              <w:rPr>
                <w:rFonts w:ascii="Arial" w:hAnsi="Arial" w:cs="Arial"/>
                <w:b/>
                <w:bCs/>
                <w:color w:val="000000"/>
                <w:sz w:val="20"/>
              </w:rPr>
            </w:pPr>
            <w:r w:rsidRPr="00D14EB7">
              <w:rPr>
                <w:rFonts w:ascii="Arial" w:hAnsi="Arial" w:cs="Arial"/>
                <w:bCs/>
                <w:color w:val="000000"/>
                <w:sz w:val="20"/>
              </w:rPr>
              <w:t>The Graduate Studies Sub-Committee which oversees all graduate programmes and ensures that significant changes to programmes and courses pass through a sequence of formal stages, so that curricular changes are appropriate and compatible with other developments</w:t>
            </w:r>
            <w:r w:rsidR="00D14EB7" w:rsidRPr="00D14EB7">
              <w:rPr>
                <w:rFonts w:ascii="Arial" w:hAnsi="Arial" w:cs="Arial"/>
                <w:bCs/>
                <w:color w:val="000000"/>
                <w:sz w:val="20"/>
              </w:rPr>
              <w:t>;</w:t>
            </w:r>
          </w:p>
          <w:p w:rsidR="00CB40DD" w:rsidRPr="00D14EB7" w:rsidRDefault="00CB40DD" w:rsidP="00CB40DD">
            <w:pPr>
              <w:numPr>
                <w:ilvl w:val="0"/>
                <w:numId w:val="20"/>
              </w:numPr>
              <w:rPr>
                <w:rFonts w:ascii="Arial" w:hAnsi="Arial" w:cs="Arial"/>
                <w:b/>
                <w:bCs/>
                <w:color w:val="000000"/>
                <w:sz w:val="20"/>
              </w:rPr>
            </w:pPr>
            <w:r w:rsidRPr="00D14EB7">
              <w:rPr>
                <w:rFonts w:ascii="Arial" w:hAnsi="Arial" w:cs="Arial"/>
                <w:bCs/>
                <w:color w:val="000000"/>
                <w:sz w:val="20"/>
              </w:rPr>
              <w:t>Departmental Teaching Committee</w:t>
            </w:r>
            <w:r w:rsidR="00D14EB7" w:rsidRPr="00D14EB7">
              <w:rPr>
                <w:rFonts w:ascii="Arial" w:hAnsi="Arial" w:cs="Arial"/>
                <w:bCs/>
                <w:color w:val="000000"/>
                <w:sz w:val="20"/>
              </w:rPr>
              <w:t>;</w:t>
            </w:r>
          </w:p>
          <w:p w:rsidR="00CB40DD" w:rsidRPr="00D14EB7" w:rsidRDefault="00CB40DD" w:rsidP="00CB40DD">
            <w:pPr>
              <w:numPr>
                <w:ilvl w:val="0"/>
                <w:numId w:val="20"/>
              </w:numPr>
              <w:rPr>
                <w:rFonts w:ascii="Arial" w:hAnsi="Arial" w:cs="Arial"/>
                <w:b/>
                <w:bCs/>
                <w:color w:val="000000"/>
                <w:sz w:val="20"/>
              </w:rPr>
            </w:pPr>
            <w:r w:rsidRPr="00D14EB7">
              <w:rPr>
                <w:rFonts w:ascii="Arial" w:hAnsi="Arial" w:cs="Arial"/>
                <w:bCs/>
                <w:color w:val="000000"/>
                <w:sz w:val="20"/>
              </w:rPr>
              <w:t>SSLC meetings</w:t>
            </w:r>
            <w:r w:rsidR="00D14EB7" w:rsidRPr="00D14EB7">
              <w:rPr>
                <w:rFonts w:ascii="Arial" w:hAnsi="Arial" w:cs="Arial"/>
                <w:bCs/>
                <w:color w:val="000000"/>
                <w:sz w:val="20"/>
              </w:rPr>
              <w:t>;</w:t>
            </w:r>
          </w:p>
          <w:p w:rsidR="00CB40DD" w:rsidRPr="00D14EB7" w:rsidRDefault="00CB40DD" w:rsidP="00CB40DD">
            <w:pPr>
              <w:numPr>
                <w:ilvl w:val="0"/>
                <w:numId w:val="20"/>
              </w:numPr>
              <w:rPr>
                <w:rFonts w:ascii="Arial" w:hAnsi="Arial" w:cs="Arial"/>
                <w:bCs/>
                <w:color w:val="000000"/>
                <w:sz w:val="20"/>
              </w:rPr>
            </w:pPr>
            <w:r w:rsidRPr="00D14EB7">
              <w:rPr>
                <w:rFonts w:ascii="Arial" w:hAnsi="Arial" w:cs="Arial"/>
                <w:bCs/>
                <w:color w:val="000000"/>
                <w:sz w:val="20"/>
              </w:rPr>
              <w:t>Course teaching surveys by TQARO</w:t>
            </w:r>
            <w:r w:rsidR="00D14EB7" w:rsidRPr="00D14EB7">
              <w:rPr>
                <w:rFonts w:ascii="Arial" w:hAnsi="Arial" w:cs="Arial"/>
                <w:bCs/>
                <w:color w:val="000000"/>
                <w:sz w:val="20"/>
              </w:rPr>
              <w:t>;</w:t>
            </w:r>
          </w:p>
          <w:p w:rsidR="00CB40DD" w:rsidRPr="00D14EB7" w:rsidRDefault="00CB40DD" w:rsidP="00CB40DD">
            <w:pPr>
              <w:numPr>
                <w:ilvl w:val="0"/>
                <w:numId w:val="20"/>
              </w:numPr>
              <w:rPr>
                <w:rFonts w:ascii="Arial" w:hAnsi="Arial" w:cs="Arial"/>
                <w:bCs/>
                <w:color w:val="000000"/>
                <w:sz w:val="20"/>
              </w:rPr>
            </w:pPr>
            <w:r w:rsidRPr="00D14EB7">
              <w:rPr>
                <w:rFonts w:ascii="Arial" w:hAnsi="Arial" w:cs="Arial"/>
                <w:bCs/>
                <w:color w:val="000000"/>
                <w:sz w:val="20"/>
              </w:rPr>
              <w:t>The Department’s system of periodic review for its programmes</w:t>
            </w:r>
            <w:r w:rsidR="00D14EB7" w:rsidRPr="00D14EB7">
              <w:rPr>
                <w:rFonts w:ascii="Arial" w:hAnsi="Arial" w:cs="Arial"/>
                <w:bCs/>
                <w:color w:val="000000"/>
                <w:sz w:val="20"/>
              </w:rPr>
              <w:t>.</w:t>
            </w:r>
          </w:p>
          <w:p w:rsidR="00AD112C" w:rsidRPr="00D14EB7" w:rsidRDefault="00AD112C">
            <w:pPr>
              <w:rPr>
                <w:rFonts w:ascii="Arial" w:hAnsi="Arial" w:cs="Arial"/>
                <w:color w:val="000000"/>
                <w:sz w:val="20"/>
              </w:rPr>
            </w:pPr>
          </w:p>
        </w:tc>
      </w:tr>
    </w:tbl>
    <w:p w:rsidR="00AD112C" w:rsidRPr="00D14EB7" w:rsidRDefault="00AD112C">
      <w:pPr>
        <w:rPr>
          <w:rFonts w:ascii="Arial" w:hAnsi="Arial" w:cs="Arial"/>
          <w:color w:val="000000"/>
          <w:sz w:val="20"/>
        </w:rPr>
      </w:pPr>
    </w:p>
    <w:sectPr w:rsidR="00AD112C" w:rsidRPr="00D14EB7">
      <w:endnotePr>
        <w:numFmt w:val="decimal"/>
      </w:endnotePr>
      <w:pgSz w:w="11907" w:h="16840"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092D"/>
    <w:multiLevelType w:val="hybridMultilevel"/>
    <w:tmpl w:val="6BB45E90"/>
    <w:lvl w:ilvl="0" w:tplc="21BEDDF4">
      <w:numFmt w:v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03289E"/>
    <w:multiLevelType w:val="hybridMultilevel"/>
    <w:tmpl w:val="CB60A52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
    <w:nsid w:val="11453A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15824B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721028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191A262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19ED566D"/>
    <w:multiLevelType w:val="singleLevel"/>
    <w:tmpl w:val="08090017"/>
    <w:lvl w:ilvl="0">
      <w:start w:val="1"/>
      <w:numFmt w:val="lowerLetter"/>
      <w:lvlText w:val="%1)"/>
      <w:lvlJc w:val="left"/>
      <w:pPr>
        <w:tabs>
          <w:tab w:val="num" w:pos="360"/>
        </w:tabs>
        <w:ind w:left="360" w:hanging="360"/>
      </w:pPr>
    </w:lvl>
  </w:abstractNum>
  <w:abstractNum w:abstractNumId="7">
    <w:nsid w:val="30E215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nsid w:val="32BD382D"/>
    <w:multiLevelType w:val="singleLevel"/>
    <w:tmpl w:val="77F2E40C"/>
    <w:lvl w:ilvl="0">
      <w:start w:val="12"/>
      <w:numFmt w:val="bullet"/>
      <w:lvlText w:val="-"/>
      <w:lvlJc w:val="left"/>
      <w:pPr>
        <w:tabs>
          <w:tab w:val="num" w:pos="360"/>
        </w:tabs>
        <w:ind w:left="360" w:hanging="360"/>
      </w:pPr>
      <w:rPr>
        <w:rFonts w:hint="default"/>
      </w:rPr>
    </w:lvl>
  </w:abstractNum>
  <w:abstractNum w:abstractNumId="9">
    <w:nsid w:val="344D3D6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396935B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3E7A20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435E32FE"/>
    <w:multiLevelType w:val="hybridMultilevel"/>
    <w:tmpl w:val="014E575E"/>
    <w:lvl w:ilvl="0" w:tplc="21BEDDF4">
      <w:numFmt w:v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5B324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49836D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4A02710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4B925AC1"/>
    <w:multiLevelType w:val="hybridMultilevel"/>
    <w:tmpl w:val="F3E08D7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7">
    <w:nsid w:val="5E83212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6D4A04B0"/>
    <w:multiLevelType w:val="hybridMultilevel"/>
    <w:tmpl w:val="EBE68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02039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nsid w:val="72E75BC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785D498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19"/>
  </w:num>
  <w:num w:numId="3">
    <w:abstractNumId w:val="9"/>
  </w:num>
  <w:num w:numId="4">
    <w:abstractNumId w:val="5"/>
  </w:num>
  <w:num w:numId="5">
    <w:abstractNumId w:val="21"/>
  </w:num>
  <w:num w:numId="6">
    <w:abstractNumId w:val="2"/>
  </w:num>
  <w:num w:numId="7">
    <w:abstractNumId w:val="11"/>
  </w:num>
  <w:num w:numId="8">
    <w:abstractNumId w:val="17"/>
  </w:num>
  <w:num w:numId="9">
    <w:abstractNumId w:val="10"/>
  </w:num>
  <w:num w:numId="10">
    <w:abstractNumId w:val="8"/>
  </w:num>
  <w:num w:numId="11">
    <w:abstractNumId w:val="14"/>
  </w:num>
  <w:num w:numId="12">
    <w:abstractNumId w:val="4"/>
  </w:num>
  <w:num w:numId="13">
    <w:abstractNumId w:val="15"/>
  </w:num>
  <w:num w:numId="14">
    <w:abstractNumId w:val="3"/>
  </w:num>
  <w:num w:numId="15">
    <w:abstractNumId w:val="7"/>
  </w:num>
  <w:num w:numId="16">
    <w:abstractNumId w:val="13"/>
  </w:num>
  <w:num w:numId="17">
    <w:abstractNumId w:val="1"/>
  </w:num>
  <w:num w:numId="18">
    <w:abstractNumId w:val="12"/>
  </w:num>
  <w:num w:numId="19">
    <w:abstractNumId w:val="0"/>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num>
  <w:num w:numId="22">
    <w:abstractNumId w:val="1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F20"/>
    <w:rsid w:val="000E2B84"/>
    <w:rsid w:val="001A25CB"/>
    <w:rsid w:val="002E4484"/>
    <w:rsid w:val="00387C00"/>
    <w:rsid w:val="00392A3E"/>
    <w:rsid w:val="004028D8"/>
    <w:rsid w:val="00715F20"/>
    <w:rsid w:val="00935069"/>
    <w:rsid w:val="009845D1"/>
    <w:rsid w:val="00A00198"/>
    <w:rsid w:val="00AD112C"/>
    <w:rsid w:val="00B242C7"/>
    <w:rsid w:val="00B5119F"/>
    <w:rsid w:val="00C01DE0"/>
    <w:rsid w:val="00CB40DD"/>
    <w:rsid w:val="00D14EB7"/>
    <w:rsid w:val="00E16041"/>
    <w:rsid w:val="00F57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rFonts w:ascii="Arial" w:hAnsi="Arial"/>
      <w:b/>
      <w:sz w:val="20"/>
    </w:rPr>
  </w:style>
  <w:style w:type="paragraph" w:styleId="Heading3">
    <w:name w:val="heading 3"/>
    <w:basedOn w:val="Normal"/>
    <w:next w:val="Normal"/>
    <w:qFormat/>
    <w:pPr>
      <w:keepNext/>
      <w:outlineLvl w:val="2"/>
    </w:pPr>
    <w:rPr>
      <w:b/>
      <w:color w:val="000000"/>
    </w:rPr>
  </w:style>
  <w:style w:type="paragraph" w:styleId="Heading4">
    <w:name w:val="heading 4"/>
    <w:basedOn w:val="Normal"/>
    <w:next w:val="Normal"/>
    <w:qFormat/>
    <w:pPr>
      <w:keepNext/>
      <w:outlineLvl w:val="3"/>
    </w:pPr>
    <w:rPr>
      <w:rFonts w:ascii="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widowControl w:val="0"/>
    </w:pPr>
    <w:rPr>
      <w:snapToGrid w:val="0"/>
      <w:sz w:val="20"/>
    </w:rPr>
  </w:style>
  <w:style w:type="paragraph" w:styleId="BodyText">
    <w:name w:val="Body Text"/>
    <w:basedOn w:val="Normal"/>
    <w:rPr>
      <w:color w:val="000000"/>
    </w:rPr>
  </w:style>
  <w:style w:type="character" w:styleId="Hyperlink">
    <w:name w:val="Hyperlink"/>
    <w:rPr>
      <w:color w:val="0000FF"/>
      <w:u w:val="single"/>
    </w:rPr>
  </w:style>
  <w:style w:type="character" w:styleId="FollowedHyperlink">
    <w:name w:val="FollowedHyperlink"/>
    <w:rsid w:val="00392A3E"/>
    <w:rPr>
      <w:color w:val="800080"/>
      <w:u w:val="single"/>
    </w:rPr>
  </w:style>
  <w:style w:type="character" w:customStyle="1" w:styleId="EmailStyle19">
    <w:name w:val="EmailStyle19"/>
    <w:semiHidden/>
    <w:rsid w:val="00CB40DD"/>
    <w:rPr>
      <w:rFonts w:ascii="Arial" w:hAnsi="Arial" w:cs="Arial" w:hint="default"/>
      <w:b w:val="0"/>
      <w:bCs w:val="0"/>
      <w:i w:val="0"/>
      <w:iCs w:val="0"/>
      <w:strike w:val="0"/>
      <w:dstrike w:val="0"/>
      <w:color w:val="auto"/>
      <w:sz w:val="20"/>
      <w:szCs w:val="20"/>
      <w:u w:val="none"/>
      <w:effect w:val="none"/>
    </w:rPr>
  </w:style>
  <w:style w:type="paragraph" w:styleId="BalloonText">
    <w:name w:val="Balloon Text"/>
    <w:basedOn w:val="Normal"/>
    <w:link w:val="BalloonTextChar"/>
    <w:rsid w:val="002E4484"/>
    <w:rPr>
      <w:rFonts w:ascii="Tahoma" w:hAnsi="Tahoma" w:cs="Tahoma"/>
      <w:sz w:val="16"/>
      <w:szCs w:val="16"/>
    </w:rPr>
  </w:style>
  <w:style w:type="character" w:customStyle="1" w:styleId="BalloonTextChar">
    <w:name w:val="Balloon Text Char"/>
    <w:basedOn w:val="DefaultParagraphFont"/>
    <w:link w:val="BalloonText"/>
    <w:rsid w:val="002E4484"/>
    <w:rPr>
      <w:rFonts w:ascii="Tahoma" w:hAnsi="Tahoma" w:cs="Tahoma"/>
      <w:sz w:val="16"/>
      <w:szCs w:val="16"/>
      <w:lang w:val="en-GB"/>
    </w:rPr>
  </w:style>
  <w:style w:type="paragraph" w:styleId="ListParagraph">
    <w:name w:val="List Paragraph"/>
    <w:basedOn w:val="Normal"/>
    <w:uiPriority w:val="34"/>
    <w:qFormat/>
    <w:rsid w:val="00D14EB7"/>
    <w:pPr>
      <w:ind w:left="720"/>
      <w:contextualSpacing/>
    </w:pPr>
  </w:style>
  <w:style w:type="paragraph" w:styleId="BodyText2">
    <w:name w:val="Body Text 2"/>
    <w:basedOn w:val="Normal"/>
    <w:link w:val="BodyText2Char"/>
    <w:rsid w:val="00D14EB7"/>
    <w:pPr>
      <w:spacing w:after="120" w:line="480" w:lineRule="auto"/>
    </w:pPr>
  </w:style>
  <w:style w:type="character" w:customStyle="1" w:styleId="BodyText2Char">
    <w:name w:val="Body Text 2 Char"/>
    <w:basedOn w:val="DefaultParagraphFont"/>
    <w:link w:val="BodyText2"/>
    <w:rsid w:val="00D14EB7"/>
    <w:rPr>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rFonts w:ascii="Arial" w:hAnsi="Arial"/>
      <w:b/>
      <w:sz w:val="20"/>
    </w:rPr>
  </w:style>
  <w:style w:type="paragraph" w:styleId="Heading3">
    <w:name w:val="heading 3"/>
    <w:basedOn w:val="Normal"/>
    <w:next w:val="Normal"/>
    <w:qFormat/>
    <w:pPr>
      <w:keepNext/>
      <w:outlineLvl w:val="2"/>
    </w:pPr>
    <w:rPr>
      <w:b/>
      <w:color w:val="000000"/>
    </w:rPr>
  </w:style>
  <w:style w:type="paragraph" w:styleId="Heading4">
    <w:name w:val="heading 4"/>
    <w:basedOn w:val="Normal"/>
    <w:next w:val="Normal"/>
    <w:qFormat/>
    <w:pPr>
      <w:keepNext/>
      <w:outlineLvl w:val="3"/>
    </w:pPr>
    <w:rPr>
      <w:rFonts w:ascii="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widowControl w:val="0"/>
    </w:pPr>
    <w:rPr>
      <w:snapToGrid w:val="0"/>
      <w:sz w:val="20"/>
    </w:rPr>
  </w:style>
  <w:style w:type="paragraph" w:styleId="BodyText">
    <w:name w:val="Body Text"/>
    <w:basedOn w:val="Normal"/>
    <w:rPr>
      <w:color w:val="000000"/>
    </w:rPr>
  </w:style>
  <w:style w:type="character" w:styleId="Hyperlink">
    <w:name w:val="Hyperlink"/>
    <w:rPr>
      <w:color w:val="0000FF"/>
      <w:u w:val="single"/>
    </w:rPr>
  </w:style>
  <w:style w:type="character" w:styleId="FollowedHyperlink">
    <w:name w:val="FollowedHyperlink"/>
    <w:rsid w:val="00392A3E"/>
    <w:rPr>
      <w:color w:val="800080"/>
      <w:u w:val="single"/>
    </w:rPr>
  </w:style>
  <w:style w:type="character" w:customStyle="1" w:styleId="EmailStyle19">
    <w:name w:val="EmailStyle19"/>
    <w:semiHidden/>
    <w:rsid w:val="00CB40DD"/>
    <w:rPr>
      <w:rFonts w:ascii="Arial" w:hAnsi="Arial" w:cs="Arial" w:hint="default"/>
      <w:b w:val="0"/>
      <w:bCs w:val="0"/>
      <w:i w:val="0"/>
      <w:iCs w:val="0"/>
      <w:strike w:val="0"/>
      <w:dstrike w:val="0"/>
      <w:color w:val="auto"/>
      <w:sz w:val="20"/>
      <w:szCs w:val="20"/>
      <w:u w:val="none"/>
      <w:effect w:val="none"/>
    </w:rPr>
  </w:style>
  <w:style w:type="paragraph" w:styleId="BalloonText">
    <w:name w:val="Balloon Text"/>
    <w:basedOn w:val="Normal"/>
    <w:link w:val="BalloonTextChar"/>
    <w:rsid w:val="002E4484"/>
    <w:rPr>
      <w:rFonts w:ascii="Tahoma" w:hAnsi="Tahoma" w:cs="Tahoma"/>
      <w:sz w:val="16"/>
      <w:szCs w:val="16"/>
    </w:rPr>
  </w:style>
  <w:style w:type="character" w:customStyle="1" w:styleId="BalloonTextChar">
    <w:name w:val="Balloon Text Char"/>
    <w:basedOn w:val="DefaultParagraphFont"/>
    <w:link w:val="BalloonText"/>
    <w:rsid w:val="002E4484"/>
    <w:rPr>
      <w:rFonts w:ascii="Tahoma" w:hAnsi="Tahoma" w:cs="Tahoma"/>
      <w:sz w:val="16"/>
      <w:szCs w:val="16"/>
      <w:lang w:val="en-GB"/>
    </w:rPr>
  </w:style>
  <w:style w:type="paragraph" w:styleId="ListParagraph">
    <w:name w:val="List Paragraph"/>
    <w:basedOn w:val="Normal"/>
    <w:uiPriority w:val="34"/>
    <w:qFormat/>
    <w:rsid w:val="00D14EB7"/>
    <w:pPr>
      <w:ind w:left="720"/>
      <w:contextualSpacing/>
    </w:pPr>
  </w:style>
  <w:style w:type="paragraph" w:styleId="BodyText2">
    <w:name w:val="Body Text 2"/>
    <w:basedOn w:val="Normal"/>
    <w:link w:val="BodyText2Char"/>
    <w:rsid w:val="00D14EB7"/>
    <w:pPr>
      <w:spacing w:after="120" w:line="480" w:lineRule="auto"/>
    </w:pPr>
  </w:style>
  <w:style w:type="character" w:customStyle="1" w:styleId="BodyText2Char">
    <w:name w:val="Body Text 2 Char"/>
    <w:basedOn w:val="DefaultParagraphFont"/>
    <w:link w:val="BodyText2"/>
    <w:rsid w:val="00D14EB7"/>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350738">
      <w:bodyDiv w:val="1"/>
      <w:marLeft w:val="0"/>
      <w:marRight w:val="0"/>
      <w:marTop w:val="0"/>
      <w:marBottom w:val="0"/>
      <w:divBdr>
        <w:top w:val="none" w:sz="0" w:space="0" w:color="auto"/>
        <w:left w:val="none" w:sz="0" w:space="0" w:color="auto"/>
        <w:bottom w:val="none" w:sz="0" w:space="0" w:color="auto"/>
        <w:right w:val="none" w:sz="0" w:space="0" w:color="auto"/>
      </w:divBdr>
    </w:div>
    <w:div w:id="1796480194">
      <w:bodyDiv w:val="1"/>
      <w:marLeft w:val="0"/>
      <w:marRight w:val="0"/>
      <w:marTop w:val="0"/>
      <w:marBottom w:val="0"/>
      <w:divBdr>
        <w:top w:val="none" w:sz="0" w:space="0" w:color="auto"/>
        <w:left w:val="none" w:sz="0" w:space="0" w:color="auto"/>
        <w:bottom w:val="none" w:sz="0" w:space="0" w:color="auto"/>
        <w:right w:val="none" w:sz="0" w:space="0" w:color="auto"/>
      </w:divBdr>
    </w:div>
    <w:div w:id="212777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se.ac.uk/collections/graduateDestin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e.ac.uk/resources/calendar/programmeRegulations/taughtMasters/2012_MScEnvironmentalPolicyAndRegulation.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49FF8C84.dotm</Template>
  <TotalTime>8</TotalTime>
  <Pages>3</Pages>
  <Words>962</Words>
  <Characters>6023</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Programme specification</vt:lpstr>
    </vt:vector>
  </TitlesOfParts>
  <Company>LSE</Company>
  <LinksUpToDate>false</LinksUpToDate>
  <CharactersWithSpaces>6972</CharactersWithSpaces>
  <SharedDoc>false</SharedDoc>
  <HLinks>
    <vt:vector size="18" baseType="variant">
      <vt:variant>
        <vt:i4>3407993</vt:i4>
      </vt:variant>
      <vt:variant>
        <vt:i4>6</vt:i4>
      </vt:variant>
      <vt:variant>
        <vt:i4>0</vt:i4>
      </vt:variant>
      <vt:variant>
        <vt:i4>5</vt:i4>
      </vt:variant>
      <vt:variant>
        <vt:lpwstr>http://www.lse.ac.uk/collections/graduateDestinations/</vt:lpwstr>
      </vt:variant>
      <vt:variant>
        <vt:lpwstr/>
      </vt:variant>
      <vt:variant>
        <vt:i4>5308539</vt:i4>
      </vt:variant>
      <vt:variant>
        <vt:i4>3</vt:i4>
      </vt:variant>
      <vt:variant>
        <vt:i4>0</vt:i4>
      </vt:variant>
      <vt:variant>
        <vt:i4>5</vt:i4>
      </vt:variant>
      <vt:variant>
        <vt:lpwstr>http://www.lse.ac.uk/resources/calendar/programmeRegulations/taughtMasters/2009_MScEnvironmentalPolicyAndRegulation.htm</vt:lpwstr>
      </vt:variant>
      <vt:variant>
        <vt:lpwstr/>
      </vt:variant>
      <vt:variant>
        <vt:i4>5373955</vt:i4>
      </vt:variant>
      <vt:variant>
        <vt:i4>0</vt:i4>
      </vt:variant>
      <vt:variant>
        <vt:i4>0</vt:i4>
      </vt:variant>
      <vt:variant>
        <vt:i4>5</vt:i4>
      </vt:variant>
      <vt:variant>
        <vt:lpwstr>https://www2.lse.ac.uk/intranet/LSEServices/divisionsAndDepartments/careersService/internal/InformationCurrentStudents/Home.aspx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specification</dc:title>
  <dc:creator>LSE User</dc:creator>
  <cp:lastModifiedBy>Hewlett,TW</cp:lastModifiedBy>
  <cp:revision>3</cp:revision>
  <cp:lastPrinted>2003-06-19T18:39:00Z</cp:lastPrinted>
  <dcterms:created xsi:type="dcterms:W3CDTF">2012-11-23T16:58:00Z</dcterms:created>
  <dcterms:modified xsi:type="dcterms:W3CDTF">2012-11-23T17:07:00Z</dcterms:modified>
</cp:coreProperties>
</file>