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DF1" w:rsidRPr="00013DF1" w:rsidRDefault="00013DF1" w:rsidP="00013DF1">
      <w:pPr>
        <w:pStyle w:val="Heading1"/>
        <w:rPr>
          <w:color w:val="auto"/>
        </w:rPr>
      </w:pPr>
      <w:r>
        <w:rPr>
          <w:rFonts w:cs="Arial"/>
          <w:color w:val="auto"/>
        </w:rPr>
        <w:t xml:space="preserve">PROGRAMME SPECIFICATION: </w:t>
      </w:r>
      <w:bookmarkStart w:id="0" w:name="_GoBack"/>
      <w:proofErr w:type="spellStart"/>
      <w:r>
        <w:rPr>
          <w:rFonts w:cs="Arial"/>
          <w:color w:val="auto"/>
        </w:rPr>
        <w:t>MRes</w:t>
      </w:r>
      <w:proofErr w:type="spellEnd"/>
      <w:r>
        <w:rPr>
          <w:rFonts w:cs="Arial"/>
          <w:color w:val="auto"/>
        </w:rPr>
        <w:t>/PhD Finance</w:t>
      </w:r>
      <w:bookmarkEnd w:id="0"/>
    </w:p>
    <w:p w:rsidR="00013DF1" w:rsidRPr="00013DF1" w:rsidRDefault="00013DF1" w:rsidP="00013DF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3960"/>
        <w:gridCol w:w="4528"/>
      </w:tblGrid>
      <w:tr w:rsidR="00013DF1" w:rsidRPr="00013DF1" w:rsidTr="003C1E62">
        <w:tblPrEx>
          <w:tblCellMar>
            <w:top w:w="0" w:type="dxa"/>
            <w:bottom w:w="0" w:type="dxa"/>
          </w:tblCellMar>
        </w:tblPrEx>
        <w:tc>
          <w:tcPr>
            <w:tcW w:w="468" w:type="dxa"/>
            <w:shd w:val="pct10" w:color="auto" w:fill="auto"/>
          </w:tcPr>
          <w:p w:rsidR="00013DF1" w:rsidRPr="00013DF1" w:rsidRDefault="00013DF1" w:rsidP="003C1E62">
            <w:pPr>
              <w:rPr>
                <w:rFonts w:cs="Arial"/>
                <w:b/>
                <w:bCs/>
                <w:szCs w:val="20"/>
              </w:rPr>
            </w:pPr>
            <w:r w:rsidRPr="00013DF1">
              <w:rPr>
                <w:rFonts w:cs="Arial"/>
                <w:b/>
                <w:bCs/>
                <w:szCs w:val="20"/>
              </w:rPr>
              <w:t xml:space="preserve">1. </w:t>
            </w:r>
          </w:p>
        </w:tc>
        <w:tc>
          <w:tcPr>
            <w:tcW w:w="3960" w:type="dxa"/>
            <w:shd w:val="pct10" w:color="auto" w:fill="auto"/>
          </w:tcPr>
          <w:p w:rsidR="00013DF1" w:rsidRPr="00013DF1" w:rsidRDefault="00013DF1" w:rsidP="003C1E62">
            <w:pPr>
              <w:rPr>
                <w:rFonts w:cs="Arial"/>
                <w:b/>
                <w:bCs/>
                <w:szCs w:val="20"/>
              </w:rPr>
            </w:pPr>
            <w:r w:rsidRPr="00013DF1">
              <w:rPr>
                <w:rFonts w:cs="Arial"/>
                <w:b/>
                <w:bCs/>
                <w:szCs w:val="20"/>
              </w:rPr>
              <w:t>Awarding Body</w:t>
            </w:r>
          </w:p>
        </w:tc>
        <w:tc>
          <w:tcPr>
            <w:tcW w:w="4528" w:type="dxa"/>
          </w:tcPr>
          <w:p w:rsidR="00013DF1" w:rsidRPr="00013DF1" w:rsidRDefault="00013DF1" w:rsidP="00013DF1">
            <w:pPr>
              <w:rPr>
                <w:rFonts w:cs="Arial"/>
                <w:i/>
                <w:szCs w:val="20"/>
              </w:rPr>
            </w:pPr>
            <w:r w:rsidRPr="00013DF1">
              <w:rPr>
                <w:rFonts w:cs="Arial"/>
                <w:spacing w:val="-2"/>
                <w:szCs w:val="20"/>
              </w:rPr>
              <w:t xml:space="preserve">LSE </w:t>
            </w:r>
            <w:r w:rsidRPr="00013DF1">
              <w:rPr>
                <w:rFonts w:cs="Arial"/>
                <w:spacing w:val="-2"/>
                <w:szCs w:val="20"/>
              </w:rPr>
              <w:br/>
            </w:r>
          </w:p>
        </w:tc>
      </w:tr>
      <w:tr w:rsidR="00013DF1" w:rsidRPr="00013DF1" w:rsidTr="003C1E62">
        <w:tblPrEx>
          <w:tblCellMar>
            <w:top w:w="0" w:type="dxa"/>
            <w:bottom w:w="0" w:type="dxa"/>
          </w:tblCellMar>
        </w:tblPrEx>
        <w:tc>
          <w:tcPr>
            <w:tcW w:w="468" w:type="dxa"/>
            <w:shd w:val="pct10" w:color="auto" w:fill="auto"/>
          </w:tcPr>
          <w:p w:rsidR="00013DF1" w:rsidRPr="00013DF1" w:rsidRDefault="00013DF1" w:rsidP="003C1E62">
            <w:pPr>
              <w:rPr>
                <w:rFonts w:cs="Arial"/>
                <w:b/>
                <w:bCs/>
                <w:szCs w:val="20"/>
              </w:rPr>
            </w:pPr>
            <w:r w:rsidRPr="00013DF1">
              <w:rPr>
                <w:rFonts w:cs="Arial"/>
                <w:b/>
                <w:bCs/>
                <w:szCs w:val="20"/>
              </w:rPr>
              <w:t xml:space="preserve">2. </w:t>
            </w:r>
          </w:p>
        </w:tc>
        <w:tc>
          <w:tcPr>
            <w:tcW w:w="3960" w:type="dxa"/>
            <w:shd w:val="pct10" w:color="auto" w:fill="auto"/>
          </w:tcPr>
          <w:p w:rsidR="00013DF1" w:rsidRPr="00013DF1" w:rsidRDefault="00013DF1" w:rsidP="003C1E62">
            <w:pPr>
              <w:rPr>
                <w:rFonts w:cs="Arial"/>
                <w:b/>
                <w:bCs/>
                <w:szCs w:val="20"/>
              </w:rPr>
            </w:pPr>
            <w:r w:rsidRPr="00013DF1">
              <w:rPr>
                <w:rFonts w:cs="Arial"/>
                <w:b/>
                <w:bCs/>
                <w:szCs w:val="20"/>
              </w:rPr>
              <w:t xml:space="preserve">Details of accreditation by a professional/statutory body, </w:t>
            </w:r>
            <w:r w:rsidRPr="00013DF1">
              <w:rPr>
                <w:rFonts w:cs="Arial"/>
                <w:b/>
                <w:bCs/>
                <w:szCs w:val="20"/>
              </w:rPr>
              <w:br/>
              <w:t xml:space="preserve">e.g. ESRC; BPS </w:t>
            </w:r>
            <w:proofErr w:type="spellStart"/>
            <w:r w:rsidRPr="00013DF1">
              <w:rPr>
                <w:rFonts w:cs="Arial"/>
                <w:b/>
                <w:bCs/>
                <w:szCs w:val="20"/>
              </w:rPr>
              <w:t>etc</w:t>
            </w:r>
            <w:proofErr w:type="spellEnd"/>
          </w:p>
        </w:tc>
        <w:tc>
          <w:tcPr>
            <w:tcW w:w="4528" w:type="dxa"/>
          </w:tcPr>
          <w:p w:rsidR="00013DF1" w:rsidRPr="00013DF1" w:rsidRDefault="00013DF1" w:rsidP="003C1E62">
            <w:pPr>
              <w:rPr>
                <w:rFonts w:cs="Arial"/>
              </w:rPr>
            </w:pPr>
            <w:r>
              <w:rPr>
                <w:rFonts w:cs="Arial"/>
                <w:szCs w:val="20"/>
              </w:rPr>
              <w:t>N/A</w:t>
            </w:r>
          </w:p>
        </w:tc>
      </w:tr>
      <w:tr w:rsidR="00013DF1" w:rsidRPr="00013DF1" w:rsidTr="003C1E62">
        <w:tblPrEx>
          <w:tblCellMar>
            <w:top w:w="0" w:type="dxa"/>
            <w:bottom w:w="0" w:type="dxa"/>
          </w:tblCellMar>
        </w:tblPrEx>
        <w:tc>
          <w:tcPr>
            <w:tcW w:w="468" w:type="dxa"/>
            <w:shd w:val="pct10" w:color="auto" w:fill="auto"/>
          </w:tcPr>
          <w:p w:rsidR="00013DF1" w:rsidRPr="00013DF1" w:rsidRDefault="00013DF1" w:rsidP="003C1E62">
            <w:pPr>
              <w:rPr>
                <w:rFonts w:cs="Arial"/>
                <w:b/>
                <w:bCs/>
                <w:szCs w:val="20"/>
              </w:rPr>
            </w:pPr>
            <w:r w:rsidRPr="00013DF1">
              <w:rPr>
                <w:rFonts w:cs="Arial"/>
                <w:b/>
                <w:bCs/>
                <w:szCs w:val="20"/>
              </w:rPr>
              <w:t xml:space="preserve">3. </w:t>
            </w:r>
          </w:p>
        </w:tc>
        <w:tc>
          <w:tcPr>
            <w:tcW w:w="3960" w:type="dxa"/>
            <w:shd w:val="pct10" w:color="auto" w:fill="auto"/>
          </w:tcPr>
          <w:p w:rsidR="00013DF1" w:rsidRPr="00013DF1" w:rsidRDefault="00013DF1" w:rsidP="003C1E62">
            <w:pPr>
              <w:rPr>
                <w:rFonts w:cs="Arial"/>
                <w:b/>
                <w:bCs/>
                <w:szCs w:val="20"/>
              </w:rPr>
            </w:pPr>
            <w:r w:rsidRPr="00013DF1">
              <w:rPr>
                <w:rFonts w:cs="Arial"/>
                <w:b/>
                <w:bCs/>
                <w:szCs w:val="20"/>
              </w:rPr>
              <w:t>Name of final award</w:t>
            </w:r>
          </w:p>
        </w:tc>
        <w:tc>
          <w:tcPr>
            <w:tcW w:w="4528" w:type="dxa"/>
          </w:tcPr>
          <w:p w:rsidR="00013DF1" w:rsidRPr="00013DF1" w:rsidRDefault="00013DF1" w:rsidP="003C1E62">
            <w:pPr>
              <w:pStyle w:val="CommentText"/>
              <w:rPr>
                <w:rFonts w:cs="Arial"/>
                <w:i/>
              </w:rPr>
            </w:pPr>
            <w:proofErr w:type="spellStart"/>
            <w:r>
              <w:rPr>
                <w:rFonts w:cs="Arial"/>
              </w:rPr>
              <w:t>MRes</w:t>
            </w:r>
            <w:proofErr w:type="spellEnd"/>
            <w:r>
              <w:rPr>
                <w:rFonts w:cs="Arial"/>
              </w:rPr>
              <w:t>/PhD</w:t>
            </w:r>
          </w:p>
        </w:tc>
      </w:tr>
      <w:tr w:rsidR="00013DF1" w:rsidRPr="00013DF1" w:rsidTr="003C1E62">
        <w:tblPrEx>
          <w:tblCellMar>
            <w:top w:w="0" w:type="dxa"/>
            <w:bottom w:w="0" w:type="dxa"/>
          </w:tblCellMar>
        </w:tblPrEx>
        <w:tc>
          <w:tcPr>
            <w:tcW w:w="468" w:type="dxa"/>
            <w:shd w:val="pct10" w:color="auto" w:fill="auto"/>
          </w:tcPr>
          <w:p w:rsidR="00013DF1" w:rsidRPr="00013DF1" w:rsidRDefault="00013DF1" w:rsidP="003C1E62">
            <w:pPr>
              <w:rPr>
                <w:rFonts w:cs="Arial"/>
                <w:b/>
                <w:bCs/>
                <w:szCs w:val="20"/>
              </w:rPr>
            </w:pPr>
            <w:r w:rsidRPr="00013DF1">
              <w:rPr>
                <w:rFonts w:cs="Arial"/>
                <w:b/>
                <w:bCs/>
                <w:szCs w:val="20"/>
              </w:rPr>
              <w:t xml:space="preserve">4. </w:t>
            </w:r>
          </w:p>
        </w:tc>
        <w:tc>
          <w:tcPr>
            <w:tcW w:w="3960" w:type="dxa"/>
            <w:shd w:val="pct10" w:color="auto" w:fill="auto"/>
          </w:tcPr>
          <w:p w:rsidR="00013DF1" w:rsidRPr="00013DF1" w:rsidRDefault="00013DF1" w:rsidP="003C1E62">
            <w:pPr>
              <w:rPr>
                <w:rFonts w:cs="Arial"/>
                <w:b/>
                <w:bCs/>
                <w:szCs w:val="20"/>
              </w:rPr>
            </w:pPr>
            <w:r w:rsidRPr="00013DF1">
              <w:rPr>
                <w:rFonts w:cs="Arial"/>
                <w:b/>
                <w:bCs/>
                <w:szCs w:val="20"/>
              </w:rPr>
              <w:t>Programme Title</w:t>
            </w:r>
          </w:p>
        </w:tc>
        <w:tc>
          <w:tcPr>
            <w:tcW w:w="4528" w:type="dxa"/>
          </w:tcPr>
          <w:p w:rsidR="00013DF1" w:rsidRPr="00013DF1" w:rsidRDefault="00013DF1" w:rsidP="003C1E62">
            <w:pPr>
              <w:rPr>
                <w:rFonts w:cs="Arial"/>
                <w:szCs w:val="20"/>
              </w:rPr>
            </w:pPr>
            <w:r>
              <w:rPr>
                <w:rFonts w:cs="Arial"/>
              </w:rPr>
              <w:t>Finance</w:t>
            </w:r>
          </w:p>
        </w:tc>
      </w:tr>
      <w:tr w:rsidR="00013DF1" w:rsidRPr="00013DF1" w:rsidTr="003C1E62">
        <w:tblPrEx>
          <w:tblCellMar>
            <w:top w:w="0" w:type="dxa"/>
            <w:bottom w:w="0" w:type="dxa"/>
          </w:tblCellMar>
        </w:tblPrEx>
        <w:tc>
          <w:tcPr>
            <w:tcW w:w="468" w:type="dxa"/>
            <w:shd w:val="pct10" w:color="auto" w:fill="auto"/>
          </w:tcPr>
          <w:p w:rsidR="00013DF1" w:rsidRPr="00013DF1" w:rsidRDefault="00013DF1" w:rsidP="003C1E62">
            <w:pPr>
              <w:rPr>
                <w:rFonts w:cs="Arial"/>
                <w:b/>
                <w:bCs/>
                <w:szCs w:val="20"/>
              </w:rPr>
            </w:pPr>
            <w:r w:rsidRPr="00013DF1">
              <w:rPr>
                <w:rFonts w:cs="Arial"/>
                <w:b/>
                <w:bCs/>
                <w:szCs w:val="20"/>
              </w:rPr>
              <w:t xml:space="preserve">5. </w:t>
            </w:r>
          </w:p>
        </w:tc>
        <w:tc>
          <w:tcPr>
            <w:tcW w:w="3960" w:type="dxa"/>
            <w:shd w:val="pct10" w:color="auto" w:fill="auto"/>
          </w:tcPr>
          <w:p w:rsidR="00013DF1" w:rsidRPr="00013DF1" w:rsidRDefault="00013DF1" w:rsidP="003C1E62">
            <w:pPr>
              <w:rPr>
                <w:rFonts w:cs="Arial"/>
                <w:b/>
                <w:bCs/>
                <w:szCs w:val="20"/>
              </w:rPr>
            </w:pPr>
            <w:r w:rsidRPr="00013DF1">
              <w:rPr>
                <w:rFonts w:cs="Arial"/>
                <w:b/>
                <w:bCs/>
                <w:szCs w:val="20"/>
              </w:rPr>
              <w:t>Duration of the course</w:t>
            </w:r>
          </w:p>
        </w:tc>
        <w:tc>
          <w:tcPr>
            <w:tcW w:w="4528" w:type="dxa"/>
          </w:tcPr>
          <w:p w:rsidR="00013DF1" w:rsidRPr="00013DF1" w:rsidRDefault="00013DF1" w:rsidP="00013DF1">
            <w:pPr>
              <w:rPr>
                <w:rFonts w:cs="Arial"/>
                <w:szCs w:val="20"/>
              </w:rPr>
            </w:pPr>
            <w:proofErr w:type="spellStart"/>
            <w:r w:rsidRPr="00013DF1">
              <w:rPr>
                <w:rFonts w:cs="Arial"/>
              </w:rPr>
              <w:t>MRes</w:t>
            </w:r>
            <w:proofErr w:type="spellEnd"/>
            <w:r w:rsidRPr="00013DF1">
              <w:rPr>
                <w:rFonts w:cs="Arial"/>
              </w:rPr>
              <w:t xml:space="preserve"> 2 years</w:t>
            </w:r>
            <w:r>
              <w:rPr>
                <w:rFonts w:cs="Arial"/>
              </w:rPr>
              <w:t>, PhD 4 years</w:t>
            </w:r>
          </w:p>
        </w:tc>
      </w:tr>
      <w:tr w:rsidR="00013DF1" w:rsidRPr="00013DF1" w:rsidTr="003C1E62">
        <w:tblPrEx>
          <w:tblCellMar>
            <w:top w:w="0" w:type="dxa"/>
            <w:bottom w:w="0" w:type="dxa"/>
          </w:tblCellMar>
        </w:tblPrEx>
        <w:tc>
          <w:tcPr>
            <w:tcW w:w="468" w:type="dxa"/>
            <w:shd w:val="pct10" w:color="auto" w:fill="auto"/>
          </w:tcPr>
          <w:p w:rsidR="00013DF1" w:rsidRPr="00013DF1" w:rsidRDefault="00013DF1" w:rsidP="003C1E62">
            <w:pPr>
              <w:rPr>
                <w:rFonts w:cs="Arial"/>
                <w:b/>
                <w:bCs/>
                <w:szCs w:val="20"/>
              </w:rPr>
            </w:pPr>
            <w:r w:rsidRPr="00013DF1">
              <w:rPr>
                <w:rFonts w:cs="Arial"/>
                <w:b/>
                <w:bCs/>
                <w:szCs w:val="20"/>
              </w:rPr>
              <w:t xml:space="preserve">6. </w:t>
            </w:r>
          </w:p>
        </w:tc>
        <w:tc>
          <w:tcPr>
            <w:tcW w:w="3960" w:type="dxa"/>
            <w:shd w:val="pct10" w:color="auto" w:fill="auto"/>
          </w:tcPr>
          <w:p w:rsidR="00013DF1" w:rsidRPr="00013DF1" w:rsidRDefault="00013DF1" w:rsidP="003C1E62">
            <w:pPr>
              <w:rPr>
                <w:rFonts w:cs="Arial"/>
                <w:b/>
                <w:bCs/>
                <w:szCs w:val="20"/>
              </w:rPr>
            </w:pPr>
            <w:r w:rsidRPr="00013DF1">
              <w:rPr>
                <w:rFonts w:cs="Arial"/>
                <w:b/>
                <w:bCs/>
                <w:szCs w:val="20"/>
              </w:rPr>
              <w:t>Based in the Department/Institute:</w:t>
            </w:r>
          </w:p>
        </w:tc>
        <w:tc>
          <w:tcPr>
            <w:tcW w:w="4528" w:type="dxa"/>
          </w:tcPr>
          <w:p w:rsidR="00013DF1" w:rsidRPr="00013DF1" w:rsidRDefault="00013DF1" w:rsidP="003C1E62">
            <w:pPr>
              <w:rPr>
                <w:rFonts w:cs="Arial"/>
                <w:szCs w:val="20"/>
              </w:rPr>
            </w:pPr>
            <w:r>
              <w:rPr>
                <w:rFonts w:cs="Arial"/>
                <w:szCs w:val="20"/>
              </w:rPr>
              <w:t>Finance</w:t>
            </w:r>
          </w:p>
        </w:tc>
      </w:tr>
      <w:tr w:rsidR="00013DF1" w:rsidRPr="00013DF1" w:rsidTr="003C1E62">
        <w:tblPrEx>
          <w:tblCellMar>
            <w:top w:w="0" w:type="dxa"/>
            <w:bottom w:w="0" w:type="dxa"/>
          </w:tblCellMar>
        </w:tblPrEx>
        <w:tc>
          <w:tcPr>
            <w:tcW w:w="468" w:type="dxa"/>
            <w:shd w:val="pct10" w:color="auto" w:fill="auto"/>
          </w:tcPr>
          <w:p w:rsidR="00013DF1" w:rsidRPr="00013DF1" w:rsidRDefault="00013DF1" w:rsidP="003C1E62">
            <w:pPr>
              <w:rPr>
                <w:rFonts w:cs="Arial"/>
                <w:b/>
                <w:bCs/>
                <w:szCs w:val="20"/>
              </w:rPr>
            </w:pPr>
            <w:r w:rsidRPr="00013DF1">
              <w:rPr>
                <w:rFonts w:cs="Arial"/>
                <w:b/>
                <w:bCs/>
                <w:szCs w:val="20"/>
              </w:rPr>
              <w:t xml:space="preserve">7. </w:t>
            </w:r>
          </w:p>
        </w:tc>
        <w:tc>
          <w:tcPr>
            <w:tcW w:w="3960" w:type="dxa"/>
            <w:shd w:val="pct10" w:color="auto" w:fill="auto"/>
          </w:tcPr>
          <w:p w:rsidR="00013DF1" w:rsidRPr="00013DF1" w:rsidRDefault="00013DF1" w:rsidP="003C1E62">
            <w:pPr>
              <w:rPr>
                <w:rFonts w:cs="Arial"/>
                <w:b/>
                <w:bCs/>
                <w:szCs w:val="20"/>
              </w:rPr>
            </w:pPr>
            <w:r w:rsidRPr="00013DF1">
              <w:rPr>
                <w:rFonts w:cs="Arial"/>
                <w:b/>
                <w:bCs/>
                <w:szCs w:val="20"/>
              </w:rPr>
              <w:t>Relevant QAA subject benchmark statements</w:t>
            </w:r>
          </w:p>
        </w:tc>
        <w:tc>
          <w:tcPr>
            <w:tcW w:w="4528" w:type="dxa"/>
          </w:tcPr>
          <w:p w:rsidR="00013DF1" w:rsidRPr="00013DF1" w:rsidRDefault="00013DF1" w:rsidP="00CB24FE">
            <w:pPr>
              <w:rPr>
                <w:rFonts w:cs="Arial"/>
                <w:szCs w:val="20"/>
              </w:rPr>
            </w:pPr>
            <w:r>
              <w:rPr>
                <w:rFonts w:cs="Arial"/>
                <w:szCs w:val="20"/>
              </w:rPr>
              <w:t>N/A</w:t>
            </w:r>
          </w:p>
        </w:tc>
      </w:tr>
      <w:tr w:rsidR="00013DF1" w:rsidRPr="00013DF1" w:rsidTr="003C1E62">
        <w:tblPrEx>
          <w:tblCellMar>
            <w:top w:w="0" w:type="dxa"/>
            <w:bottom w:w="0" w:type="dxa"/>
          </w:tblCellMar>
        </w:tblPrEx>
        <w:tc>
          <w:tcPr>
            <w:tcW w:w="468" w:type="dxa"/>
            <w:shd w:val="pct10" w:color="auto" w:fill="auto"/>
          </w:tcPr>
          <w:p w:rsidR="00013DF1" w:rsidRPr="00013DF1" w:rsidRDefault="00013DF1" w:rsidP="003C1E62">
            <w:pPr>
              <w:rPr>
                <w:rFonts w:cs="Arial"/>
                <w:b/>
                <w:bCs/>
                <w:szCs w:val="20"/>
              </w:rPr>
            </w:pPr>
            <w:r w:rsidRPr="00013DF1">
              <w:rPr>
                <w:rFonts w:cs="Arial"/>
                <w:b/>
                <w:bCs/>
                <w:szCs w:val="20"/>
              </w:rPr>
              <w:t xml:space="preserve">8. </w:t>
            </w:r>
          </w:p>
        </w:tc>
        <w:tc>
          <w:tcPr>
            <w:tcW w:w="3960" w:type="dxa"/>
            <w:shd w:val="pct10" w:color="auto" w:fill="auto"/>
          </w:tcPr>
          <w:p w:rsidR="00013DF1" w:rsidRPr="00013DF1" w:rsidRDefault="00013DF1" w:rsidP="003C1E62">
            <w:pPr>
              <w:rPr>
                <w:rFonts w:cs="Arial"/>
                <w:b/>
                <w:bCs/>
                <w:szCs w:val="20"/>
              </w:rPr>
            </w:pPr>
            <w:r w:rsidRPr="00013DF1">
              <w:rPr>
                <w:rFonts w:cs="Arial"/>
                <w:b/>
                <w:bCs/>
                <w:szCs w:val="20"/>
              </w:rPr>
              <w:t>UCAS Code</w:t>
            </w:r>
          </w:p>
        </w:tc>
        <w:tc>
          <w:tcPr>
            <w:tcW w:w="4528" w:type="dxa"/>
          </w:tcPr>
          <w:p w:rsidR="00013DF1" w:rsidRPr="00013DF1" w:rsidRDefault="00013DF1" w:rsidP="003C1E62">
            <w:pPr>
              <w:rPr>
                <w:rFonts w:cs="Arial"/>
                <w:szCs w:val="20"/>
              </w:rPr>
            </w:pPr>
            <w:r>
              <w:rPr>
                <w:rFonts w:cs="Arial"/>
                <w:szCs w:val="20"/>
              </w:rPr>
              <w:t>N4ZC</w:t>
            </w:r>
          </w:p>
        </w:tc>
      </w:tr>
      <w:tr w:rsidR="00013DF1" w:rsidRPr="00013DF1" w:rsidTr="003C1E62">
        <w:tblPrEx>
          <w:tblCellMar>
            <w:top w:w="0" w:type="dxa"/>
            <w:bottom w:w="0" w:type="dxa"/>
          </w:tblCellMar>
        </w:tblPrEx>
        <w:tc>
          <w:tcPr>
            <w:tcW w:w="468" w:type="dxa"/>
            <w:shd w:val="pct10" w:color="auto" w:fill="auto"/>
          </w:tcPr>
          <w:p w:rsidR="00013DF1" w:rsidRPr="00013DF1" w:rsidRDefault="00013DF1" w:rsidP="003C1E62">
            <w:pPr>
              <w:rPr>
                <w:rFonts w:cs="Arial"/>
                <w:b/>
                <w:bCs/>
                <w:szCs w:val="20"/>
              </w:rPr>
            </w:pPr>
            <w:r w:rsidRPr="00013DF1">
              <w:rPr>
                <w:rFonts w:cs="Arial"/>
                <w:b/>
                <w:bCs/>
                <w:szCs w:val="20"/>
              </w:rPr>
              <w:t xml:space="preserve">9. </w:t>
            </w:r>
          </w:p>
        </w:tc>
        <w:tc>
          <w:tcPr>
            <w:tcW w:w="3960" w:type="dxa"/>
            <w:shd w:val="pct10" w:color="auto" w:fill="auto"/>
          </w:tcPr>
          <w:p w:rsidR="00013DF1" w:rsidRPr="00013DF1" w:rsidRDefault="00013DF1" w:rsidP="003C1E62">
            <w:pPr>
              <w:rPr>
                <w:rFonts w:cs="Arial"/>
                <w:b/>
                <w:bCs/>
                <w:szCs w:val="20"/>
              </w:rPr>
            </w:pPr>
            <w:r w:rsidRPr="00013DF1">
              <w:rPr>
                <w:rFonts w:cs="Arial"/>
                <w:b/>
                <w:bCs/>
                <w:szCs w:val="20"/>
              </w:rPr>
              <w:t>First written/last amended</w:t>
            </w:r>
          </w:p>
        </w:tc>
        <w:tc>
          <w:tcPr>
            <w:tcW w:w="4528" w:type="dxa"/>
          </w:tcPr>
          <w:p w:rsidR="00013DF1" w:rsidRPr="00013DF1" w:rsidRDefault="00013DF1" w:rsidP="003C1E62">
            <w:pPr>
              <w:rPr>
                <w:rFonts w:cs="Arial"/>
                <w:szCs w:val="20"/>
              </w:rPr>
            </w:pPr>
            <w:r w:rsidRPr="00013DF1">
              <w:rPr>
                <w:rFonts w:cs="Arial"/>
                <w:szCs w:val="20"/>
              </w:rPr>
              <w:t>Sept 2013</w:t>
            </w:r>
          </w:p>
        </w:tc>
      </w:tr>
    </w:tbl>
    <w:p w:rsidR="00013DF1" w:rsidRPr="00013DF1" w:rsidRDefault="00013DF1" w:rsidP="00013DF1">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013DF1" w:rsidRPr="00013DF1" w:rsidTr="003C1E62">
        <w:tblPrEx>
          <w:tblCellMar>
            <w:top w:w="0" w:type="dxa"/>
            <w:bottom w:w="0" w:type="dxa"/>
          </w:tblCellMar>
        </w:tblPrEx>
        <w:tc>
          <w:tcPr>
            <w:tcW w:w="495" w:type="dxa"/>
            <w:shd w:val="pct10" w:color="auto" w:fill="auto"/>
          </w:tcPr>
          <w:p w:rsidR="00013DF1" w:rsidRPr="00013DF1" w:rsidRDefault="00013DF1" w:rsidP="003C1E62">
            <w:pPr>
              <w:rPr>
                <w:rFonts w:cs="Arial"/>
                <w:b/>
                <w:bCs/>
                <w:szCs w:val="20"/>
              </w:rPr>
            </w:pPr>
            <w:r w:rsidRPr="00013DF1">
              <w:rPr>
                <w:rFonts w:cs="Arial"/>
                <w:b/>
                <w:bCs/>
                <w:szCs w:val="20"/>
              </w:rPr>
              <w:t xml:space="preserve">10. </w:t>
            </w:r>
          </w:p>
        </w:tc>
        <w:tc>
          <w:tcPr>
            <w:tcW w:w="8402" w:type="dxa"/>
            <w:shd w:val="pct10" w:color="auto" w:fill="auto"/>
          </w:tcPr>
          <w:p w:rsidR="00013DF1" w:rsidRPr="00013DF1" w:rsidRDefault="00013DF1" w:rsidP="003C1E62">
            <w:pPr>
              <w:rPr>
                <w:rFonts w:cs="Arial"/>
                <w:b/>
                <w:bCs/>
                <w:szCs w:val="20"/>
              </w:rPr>
            </w:pPr>
            <w:r w:rsidRPr="00013DF1">
              <w:rPr>
                <w:rFonts w:cs="Arial"/>
                <w:b/>
                <w:bCs/>
                <w:szCs w:val="20"/>
              </w:rPr>
              <w:t>The programme aims to:</w:t>
            </w:r>
          </w:p>
        </w:tc>
      </w:tr>
      <w:tr w:rsidR="00013DF1" w:rsidRPr="00013DF1" w:rsidTr="003C1E62">
        <w:tblPrEx>
          <w:tblCellMar>
            <w:top w:w="0" w:type="dxa"/>
            <w:bottom w:w="0" w:type="dxa"/>
          </w:tblCellMar>
        </w:tblPrEx>
        <w:tc>
          <w:tcPr>
            <w:tcW w:w="8897" w:type="dxa"/>
            <w:gridSpan w:val="2"/>
          </w:tcPr>
          <w:p w:rsidR="00013DF1" w:rsidRPr="00013DF1" w:rsidRDefault="00013DF1" w:rsidP="00013DF1">
            <w:pPr>
              <w:numPr>
                <w:ilvl w:val="0"/>
                <w:numId w:val="1"/>
              </w:numPr>
              <w:tabs>
                <w:tab w:val="left" w:pos="-720"/>
                <w:tab w:val="left" w:pos="0"/>
              </w:tabs>
              <w:suppressAutoHyphens/>
              <w:rPr>
                <w:rFonts w:cs="Arial"/>
                <w:i/>
                <w:szCs w:val="20"/>
              </w:rPr>
            </w:pPr>
            <w:r w:rsidRPr="00013DF1">
              <w:rPr>
                <w:rFonts w:cs="Arial"/>
              </w:rPr>
              <w:t>provide a broad based training in theoretical and empirical research methods in Finance</w:t>
            </w:r>
          </w:p>
          <w:p w:rsidR="00013DF1" w:rsidRPr="00013DF1" w:rsidRDefault="00013DF1" w:rsidP="00013DF1">
            <w:pPr>
              <w:numPr>
                <w:ilvl w:val="0"/>
                <w:numId w:val="1"/>
              </w:numPr>
              <w:tabs>
                <w:tab w:val="left" w:pos="-720"/>
                <w:tab w:val="left" w:pos="0"/>
              </w:tabs>
              <w:suppressAutoHyphens/>
              <w:rPr>
                <w:rFonts w:cs="Arial"/>
                <w:i/>
                <w:szCs w:val="20"/>
              </w:rPr>
            </w:pPr>
            <w:r w:rsidRPr="00013DF1">
              <w:rPr>
                <w:rFonts w:cs="Arial"/>
              </w:rPr>
              <w:t>allow students to progress onto the PhD Finance</w:t>
            </w:r>
          </w:p>
          <w:p w:rsidR="00013DF1" w:rsidRPr="00013DF1" w:rsidRDefault="00013DF1" w:rsidP="003C1E62">
            <w:pPr>
              <w:tabs>
                <w:tab w:val="left" w:pos="-720"/>
                <w:tab w:val="left" w:pos="0"/>
              </w:tabs>
              <w:suppressAutoHyphens/>
              <w:rPr>
                <w:rFonts w:cs="Arial"/>
                <w:i/>
                <w:szCs w:val="20"/>
              </w:rPr>
            </w:pPr>
          </w:p>
        </w:tc>
      </w:tr>
    </w:tbl>
    <w:p w:rsidR="00013DF1" w:rsidRPr="00013DF1" w:rsidRDefault="00013DF1" w:rsidP="00013DF1">
      <w:pPr>
        <w:rPr>
          <w:rFonts w:cs="Arial"/>
          <w:b/>
          <w:bCs/>
          <w:szCs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013DF1" w:rsidRPr="00013DF1" w:rsidTr="003C1E62">
        <w:tblPrEx>
          <w:tblCellMar>
            <w:top w:w="0" w:type="dxa"/>
            <w:bottom w:w="0" w:type="dxa"/>
          </w:tblCellMar>
        </w:tblPrEx>
        <w:tc>
          <w:tcPr>
            <w:tcW w:w="495" w:type="dxa"/>
            <w:shd w:val="pct10" w:color="auto" w:fill="auto"/>
          </w:tcPr>
          <w:p w:rsidR="00013DF1" w:rsidRPr="00013DF1" w:rsidRDefault="00013DF1" w:rsidP="003C1E62">
            <w:pPr>
              <w:rPr>
                <w:rFonts w:cs="Arial"/>
                <w:b/>
                <w:bCs/>
                <w:szCs w:val="20"/>
              </w:rPr>
            </w:pPr>
            <w:r w:rsidRPr="00013DF1">
              <w:rPr>
                <w:rFonts w:cs="Arial"/>
                <w:b/>
                <w:bCs/>
                <w:szCs w:val="20"/>
              </w:rPr>
              <w:t xml:space="preserve">11. </w:t>
            </w:r>
          </w:p>
        </w:tc>
        <w:tc>
          <w:tcPr>
            <w:tcW w:w="8402" w:type="dxa"/>
            <w:shd w:val="pct10" w:color="auto" w:fill="auto"/>
          </w:tcPr>
          <w:p w:rsidR="00013DF1" w:rsidRPr="00013DF1" w:rsidRDefault="00013DF1" w:rsidP="003C1E62">
            <w:pPr>
              <w:rPr>
                <w:rFonts w:cs="Arial"/>
                <w:b/>
                <w:bCs/>
                <w:szCs w:val="20"/>
              </w:rPr>
            </w:pPr>
            <w:r w:rsidRPr="00013DF1">
              <w:rPr>
                <w:rFonts w:cs="Arial"/>
                <w:b/>
                <w:bCs/>
                <w:szCs w:val="20"/>
              </w:rPr>
              <w:t>Programme outcomes: knowledge and understanding; skills and other attributes</w:t>
            </w:r>
          </w:p>
        </w:tc>
      </w:tr>
      <w:tr w:rsidR="00013DF1" w:rsidRPr="00013DF1" w:rsidTr="003C1E62">
        <w:tblPrEx>
          <w:tblCellMar>
            <w:top w:w="0" w:type="dxa"/>
            <w:bottom w:w="0" w:type="dxa"/>
          </w:tblCellMar>
        </w:tblPrEx>
        <w:tc>
          <w:tcPr>
            <w:tcW w:w="8897" w:type="dxa"/>
            <w:gridSpan w:val="2"/>
          </w:tcPr>
          <w:p w:rsidR="00013DF1" w:rsidRPr="00013DF1" w:rsidRDefault="00013DF1" w:rsidP="003C1E62">
            <w:pPr>
              <w:tabs>
                <w:tab w:val="left" w:pos="-720"/>
              </w:tabs>
              <w:suppressAutoHyphens/>
              <w:spacing w:before="90"/>
              <w:rPr>
                <w:rFonts w:cs="Arial"/>
                <w:spacing w:val="-2"/>
              </w:rPr>
            </w:pPr>
            <w:r w:rsidRPr="00013DF1">
              <w:rPr>
                <w:rFonts w:cs="Arial"/>
                <w:spacing w:val="-2"/>
              </w:rPr>
              <w:t>At the end of the programme, students will have a thorough understanding of</w:t>
            </w:r>
            <w:r w:rsidRPr="00013DF1">
              <w:rPr>
                <w:rFonts w:cs="Arial"/>
              </w:rPr>
              <w:t xml:space="preserve"> the latest developments in research in their chosen field and have contributed an original piece of research of their own to advance the subject</w:t>
            </w:r>
          </w:p>
          <w:p w:rsidR="00013DF1" w:rsidRPr="00013DF1" w:rsidRDefault="00013DF1" w:rsidP="003C1E62">
            <w:pPr>
              <w:tabs>
                <w:tab w:val="left" w:pos="-720"/>
              </w:tabs>
              <w:suppressAutoHyphens/>
              <w:spacing w:before="90"/>
              <w:rPr>
                <w:rFonts w:cs="Arial"/>
                <w:spacing w:val="-2"/>
              </w:rPr>
            </w:pPr>
            <w:r w:rsidRPr="00013DF1">
              <w:rPr>
                <w:rFonts w:cs="Arial"/>
                <w:i/>
                <w:iCs/>
                <w:spacing w:val="-2"/>
              </w:rPr>
              <w:t>Subject specific skills</w:t>
            </w:r>
            <w:r w:rsidRPr="00013DF1">
              <w:rPr>
                <w:rFonts w:cs="Arial"/>
                <w:spacing w:val="-2"/>
              </w:rPr>
              <w:t>: At the end of the programme, and to the appropriate extent indicated by their level of award, students should demonstrate: mastery of their chosen field; original research in that field; ability to produce publishable material of high quality.</w:t>
            </w:r>
          </w:p>
          <w:p w:rsidR="00013DF1" w:rsidRPr="00013DF1" w:rsidRDefault="00013DF1" w:rsidP="003C1E62">
            <w:pPr>
              <w:tabs>
                <w:tab w:val="left" w:pos="-720"/>
              </w:tabs>
              <w:suppressAutoHyphens/>
              <w:spacing w:before="90"/>
              <w:rPr>
                <w:rFonts w:cs="Arial"/>
                <w:spacing w:val="-2"/>
              </w:rPr>
            </w:pPr>
            <w:r w:rsidRPr="00013DF1">
              <w:rPr>
                <w:rFonts w:cs="Arial"/>
                <w:i/>
                <w:iCs/>
                <w:spacing w:val="-2"/>
              </w:rPr>
              <w:t>Cognitive abilities and non-subject specific skills</w:t>
            </w:r>
            <w:r w:rsidRPr="00013DF1">
              <w:rPr>
                <w:rFonts w:cs="Arial"/>
                <w:spacing w:val="-2"/>
              </w:rPr>
              <w:t>: At the end of the programme, students should be able to demonstrate:</w:t>
            </w:r>
          </w:p>
          <w:p w:rsidR="00013DF1" w:rsidRPr="00013DF1" w:rsidRDefault="00013DF1" w:rsidP="003C1E62">
            <w:pPr>
              <w:tabs>
                <w:tab w:val="left" w:pos="-720"/>
              </w:tabs>
              <w:suppressAutoHyphens/>
              <w:spacing w:before="90"/>
              <w:rPr>
                <w:rFonts w:cs="Arial"/>
                <w:spacing w:val="-2"/>
              </w:rPr>
            </w:pPr>
            <w:r w:rsidRPr="00013DF1">
              <w:rPr>
                <w:rFonts w:cs="Arial"/>
                <w:spacing w:val="-2"/>
              </w:rPr>
              <w:t>appropriate ability to evaluate arguments and evidence critically</w:t>
            </w:r>
          </w:p>
          <w:p w:rsidR="00013DF1" w:rsidRPr="00013DF1" w:rsidRDefault="00013DF1" w:rsidP="003C1E62">
            <w:pPr>
              <w:tabs>
                <w:tab w:val="left" w:pos="-720"/>
              </w:tabs>
              <w:suppressAutoHyphens/>
              <w:spacing w:before="90"/>
              <w:rPr>
                <w:rFonts w:cs="Arial"/>
                <w:spacing w:val="-2"/>
              </w:rPr>
            </w:pPr>
            <w:r w:rsidRPr="00013DF1">
              <w:rPr>
                <w:rFonts w:cs="Arial"/>
                <w:spacing w:val="-2"/>
              </w:rPr>
              <w:t>appropriate ability to locate, extract, analyse, and draw reasoned conclusions from multiple sources—including electronic sources—of appropriate literature and relevant data</w:t>
            </w:r>
          </w:p>
          <w:p w:rsidR="00013DF1" w:rsidRPr="00013DF1" w:rsidRDefault="00013DF1" w:rsidP="003C1E62">
            <w:pPr>
              <w:tabs>
                <w:tab w:val="left" w:pos="-720"/>
              </w:tabs>
              <w:suppressAutoHyphens/>
              <w:spacing w:before="90"/>
              <w:rPr>
                <w:rFonts w:cs="Arial"/>
                <w:spacing w:val="-2"/>
              </w:rPr>
            </w:pPr>
            <w:r w:rsidRPr="00013DF1">
              <w:rPr>
                <w:rFonts w:cs="Arial"/>
                <w:spacing w:val="-2"/>
              </w:rPr>
              <w:t>where relevant, appropriate ability to obtain reliable original data through interviews, questionnaires, case studies, surveys  or other methods</w:t>
            </w:r>
          </w:p>
          <w:p w:rsidR="00013DF1" w:rsidRPr="00013DF1" w:rsidRDefault="00013DF1" w:rsidP="003C1E62">
            <w:pPr>
              <w:tabs>
                <w:tab w:val="left" w:pos="-720"/>
              </w:tabs>
              <w:suppressAutoHyphens/>
              <w:spacing w:before="90"/>
              <w:rPr>
                <w:rFonts w:cs="Arial"/>
                <w:spacing w:val="-2"/>
              </w:rPr>
            </w:pPr>
            <w:r w:rsidRPr="00013DF1">
              <w:rPr>
                <w:rFonts w:cs="Arial"/>
                <w:spacing w:val="-2"/>
              </w:rPr>
              <w:t>appropriate ability to acknowledge and reference sources</w:t>
            </w:r>
          </w:p>
          <w:p w:rsidR="00013DF1" w:rsidRPr="00013DF1" w:rsidRDefault="00013DF1" w:rsidP="003C1E62">
            <w:pPr>
              <w:tabs>
                <w:tab w:val="left" w:pos="-720"/>
              </w:tabs>
              <w:suppressAutoHyphens/>
              <w:spacing w:before="90"/>
              <w:rPr>
                <w:rFonts w:cs="Arial"/>
                <w:spacing w:val="-2"/>
              </w:rPr>
            </w:pPr>
            <w:r w:rsidRPr="00013DF1">
              <w:rPr>
                <w:rFonts w:cs="Arial"/>
                <w:spacing w:val="-2"/>
              </w:rPr>
              <w:t xml:space="preserve">appropriate capacities for independent and self-managed learning </w:t>
            </w:r>
          </w:p>
          <w:p w:rsidR="00013DF1" w:rsidRPr="00013DF1" w:rsidRDefault="00013DF1" w:rsidP="003C1E62">
            <w:pPr>
              <w:tabs>
                <w:tab w:val="left" w:pos="-720"/>
              </w:tabs>
              <w:suppressAutoHyphens/>
              <w:spacing w:before="90"/>
              <w:rPr>
                <w:rFonts w:cs="Arial"/>
                <w:spacing w:val="-2"/>
              </w:rPr>
            </w:pPr>
            <w:r w:rsidRPr="00013DF1">
              <w:rPr>
                <w:rFonts w:cs="Arial"/>
                <w:spacing w:val="-2"/>
              </w:rPr>
              <w:t>appropriate use of communications and information technology, such as spreadsheets, word-processing and on-line databases</w:t>
            </w:r>
          </w:p>
          <w:p w:rsidR="00013DF1" w:rsidRPr="00013DF1" w:rsidRDefault="00013DF1" w:rsidP="003C1E62">
            <w:pPr>
              <w:tabs>
                <w:tab w:val="left" w:pos="-720"/>
              </w:tabs>
              <w:suppressAutoHyphens/>
              <w:spacing w:before="90"/>
              <w:rPr>
                <w:rFonts w:cs="Arial"/>
                <w:spacing w:val="-2"/>
              </w:rPr>
            </w:pPr>
            <w:r w:rsidRPr="00013DF1">
              <w:rPr>
                <w:rFonts w:cs="Arial"/>
                <w:spacing w:val="-2"/>
              </w:rPr>
              <w:t>appropriate communication skills such as ability to present quantitative and qualitative information, together with analysis, argument and commentary, in an appropriate form</w:t>
            </w:r>
          </w:p>
          <w:p w:rsidR="00013DF1" w:rsidRPr="00013DF1" w:rsidRDefault="00013DF1" w:rsidP="003C1E62">
            <w:pPr>
              <w:pStyle w:val="CommentText"/>
              <w:rPr>
                <w:rFonts w:cs="Arial"/>
                <w:i/>
              </w:rPr>
            </w:pPr>
            <w:r w:rsidRPr="00013DF1">
              <w:rPr>
                <w:rFonts w:cs="Arial"/>
                <w:spacing w:val="-2"/>
              </w:rPr>
              <w:br/>
              <w:t>ability to work in groups in so far as relevant to their research area and other appropriate inter-personal skills, including oral and written presentation skills</w:t>
            </w:r>
          </w:p>
          <w:p w:rsidR="00013DF1" w:rsidRPr="00013DF1" w:rsidRDefault="00013DF1" w:rsidP="003C1E62">
            <w:pPr>
              <w:pStyle w:val="CommentText"/>
              <w:rPr>
                <w:rFonts w:cs="Arial"/>
                <w:b/>
              </w:rPr>
            </w:pPr>
          </w:p>
        </w:tc>
      </w:tr>
    </w:tbl>
    <w:p w:rsidR="00013DF1" w:rsidRPr="00013DF1" w:rsidRDefault="00013DF1" w:rsidP="00013DF1">
      <w:pPr>
        <w:rPr>
          <w:rFonts w:cs="Arial"/>
          <w:b/>
          <w:bCs/>
          <w:szCs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013DF1" w:rsidRPr="00013DF1" w:rsidTr="003C1E62">
        <w:tblPrEx>
          <w:tblCellMar>
            <w:top w:w="0" w:type="dxa"/>
            <w:bottom w:w="0" w:type="dxa"/>
          </w:tblCellMar>
        </w:tblPrEx>
        <w:tc>
          <w:tcPr>
            <w:tcW w:w="495" w:type="dxa"/>
            <w:shd w:val="pct10" w:color="auto" w:fill="auto"/>
          </w:tcPr>
          <w:p w:rsidR="00013DF1" w:rsidRPr="00013DF1" w:rsidRDefault="00013DF1" w:rsidP="003C1E62">
            <w:pPr>
              <w:rPr>
                <w:rFonts w:cs="Arial"/>
                <w:b/>
                <w:bCs/>
                <w:szCs w:val="20"/>
              </w:rPr>
            </w:pPr>
            <w:r w:rsidRPr="00013DF1">
              <w:rPr>
                <w:rFonts w:cs="Arial"/>
                <w:b/>
                <w:bCs/>
                <w:szCs w:val="20"/>
              </w:rPr>
              <w:t xml:space="preserve">12. </w:t>
            </w:r>
          </w:p>
        </w:tc>
        <w:tc>
          <w:tcPr>
            <w:tcW w:w="8402" w:type="dxa"/>
            <w:shd w:val="pct10" w:color="auto" w:fill="auto"/>
          </w:tcPr>
          <w:p w:rsidR="00013DF1" w:rsidRPr="00013DF1" w:rsidRDefault="00013DF1" w:rsidP="003C1E62">
            <w:pPr>
              <w:rPr>
                <w:rFonts w:cs="Arial"/>
                <w:b/>
                <w:bCs/>
                <w:szCs w:val="20"/>
              </w:rPr>
            </w:pPr>
            <w:r w:rsidRPr="00013DF1">
              <w:rPr>
                <w:rFonts w:cs="Arial"/>
                <w:b/>
                <w:bCs/>
                <w:szCs w:val="20"/>
              </w:rPr>
              <w:t>Teaching, learning and assessment strategies to enable outcomes to be achieved and demonstrated</w:t>
            </w:r>
          </w:p>
        </w:tc>
      </w:tr>
      <w:tr w:rsidR="00013DF1" w:rsidRPr="00013DF1" w:rsidTr="003C1E62">
        <w:tblPrEx>
          <w:tblCellMar>
            <w:top w:w="0" w:type="dxa"/>
            <w:bottom w:w="0" w:type="dxa"/>
          </w:tblCellMar>
        </w:tblPrEx>
        <w:tc>
          <w:tcPr>
            <w:tcW w:w="8897" w:type="dxa"/>
            <w:gridSpan w:val="2"/>
          </w:tcPr>
          <w:p w:rsidR="00013DF1" w:rsidRDefault="00013DF1" w:rsidP="00013DF1">
            <w:pPr>
              <w:pStyle w:val="BodyTextIndent"/>
              <w:tabs>
                <w:tab w:val="left" w:pos="-720"/>
              </w:tabs>
              <w:suppressAutoHyphens/>
              <w:ind w:left="0" w:firstLine="0"/>
              <w:rPr>
                <w:rFonts w:cs="Arial"/>
                <w:b w:val="0"/>
                <w:color w:val="auto"/>
              </w:rPr>
            </w:pPr>
          </w:p>
          <w:p w:rsidR="00013DF1" w:rsidRPr="00013DF1" w:rsidRDefault="00013DF1" w:rsidP="00013DF1">
            <w:pPr>
              <w:pStyle w:val="BodyTextIndent"/>
              <w:tabs>
                <w:tab w:val="left" w:pos="-720"/>
              </w:tabs>
              <w:suppressAutoHyphens/>
              <w:ind w:left="0" w:firstLine="0"/>
              <w:rPr>
                <w:rFonts w:cs="Arial"/>
                <w:b w:val="0"/>
                <w:color w:val="auto"/>
              </w:rPr>
            </w:pPr>
            <w:r w:rsidRPr="00013DF1">
              <w:rPr>
                <w:rFonts w:cs="Arial"/>
                <w:b w:val="0"/>
                <w:color w:val="auto"/>
              </w:rPr>
              <w:t xml:space="preserve">This programme provides research-led teaching which </w:t>
            </w:r>
            <w:proofErr w:type="gramStart"/>
            <w:r w:rsidRPr="00013DF1">
              <w:rPr>
                <w:rFonts w:cs="Arial"/>
                <w:b w:val="0"/>
                <w:color w:val="auto"/>
              </w:rPr>
              <w:t>will enable</w:t>
            </w:r>
            <w:proofErr w:type="gramEnd"/>
            <w:r w:rsidRPr="00013DF1">
              <w:rPr>
                <w:rFonts w:cs="Arial"/>
                <w:b w:val="0"/>
                <w:color w:val="auto"/>
              </w:rPr>
              <w:t xml:space="preserve"> bring students to work at the forefront of practice and theory in their selected areas of research specialisation. The teaching is of an advanced nature and covers internationally significant conceptual and technical developments in empirical and institutional aspects of accounting, finance, financial economics and econometrics. Students acquire their detailed knowledge and understanding of their chosen area of research, and their subject specific skills, through a combination of lectures, problem </w:t>
            </w:r>
            <w:r w:rsidRPr="00013DF1">
              <w:rPr>
                <w:rFonts w:cs="Arial"/>
                <w:b w:val="0"/>
                <w:color w:val="auto"/>
              </w:rPr>
              <w:lastRenderedPageBreak/>
              <w:t>classes and progression to guided independent study, reinforced by the opportunity to meet teachers and their supervisors in  one-to-one in office hours.  They are required to make seminar presentations to faculty during their first year, and present work in progress during subsequent years.</w:t>
            </w:r>
          </w:p>
          <w:p w:rsidR="00013DF1" w:rsidRPr="00013DF1" w:rsidRDefault="00013DF1" w:rsidP="003C1E62">
            <w:pPr>
              <w:tabs>
                <w:tab w:val="left" w:pos="-720"/>
              </w:tabs>
              <w:suppressAutoHyphens/>
              <w:rPr>
                <w:rFonts w:cs="Arial"/>
                <w:spacing w:val="-2"/>
              </w:rPr>
            </w:pPr>
          </w:p>
          <w:p w:rsidR="00013DF1" w:rsidRPr="00013DF1" w:rsidRDefault="00013DF1" w:rsidP="003C1E62">
            <w:pPr>
              <w:tabs>
                <w:tab w:val="left" w:pos="-720"/>
              </w:tabs>
              <w:suppressAutoHyphens/>
              <w:rPr>
                <w:rFonts w:cs="Arial"/>
                <w:spacing w:val="-2"/>
              </w:rPr>
            </w:pPr>
            <w:r w:rsidRPr="00013DF1">
              <w:rPr>
                <w:rFonts w:cs="Arial"/>
                <w:spacing w:val="-2"/>
              </w:rPr>
              <w:t>Course reading lists include not only leading textbooks but references to current research literature and primary sources, including relevant examples from current practice, official and professional policy documents, websites and other electronic data sources.</w:t>
            </w:r>
          </w:p>
          <w:p w:rsidR="00013DF1" w:rsidRPr="00013DF1" w:rsidRDefault="00013DF1" w:rsidP="003C1E62">
            <w:pPr>
              <w:tabs>
                <w:tab w:val="left" w:pos="-720"/>
              </w:tabs>
              <w:suppressAutoHyphens/>
              <w:rPr>
                <w:rFonts w:cs="Arial"/>
                <w:spacing w:val="-2"/>
              </w:rPr>
            </w:pPr>
          </w:p>
          <w:p w:rsidR="00013DF1" w:rsidRPr="00013DF1" w:rsidRDefault="00013DF1" w:rsidP="003C1E62">
            <w:pPr>
              <w:tabs>
                <w:tab w:val="left" w:pos="-720"/>
              </w:tabs>
              <w:suppressAutoHyphens/>
              <w:rPr>
                <w:rFonts w:cs="Arial"/>
                <w:spacing w:val="-2"/>
              </w:rPr>
            </w:pPr>
            <w:r w:rsidRPr="00013DF1">
              <w:rPr>
                <w:rFonts w:cs="Arial"/>
                <w:spacing w:val="-2"/>
              </w:rPr>
              <w:t xml:space="preserve">Academic teaching </w:t>
            </w:r>
            <w:proofErr w:type="gramStart"/>
            <w:r w:rsidRPr="00013DF1">
              <w:rPr>
                <w:rFonts w:cs="Arial"/>
                <w:spacing w:val="-2"/>
              </w:rPr>
              <w:t>staff</w:t>
            </w:r>
            <w:proofErr w:type="gramEnd"/>
            <w:r w:rsidRPr="00013DF1">
              <w:rPr>
                <w:rFonts w:cs="Arial"/>
                <w:spacing w:val="-2"/>
              </w:rPr>
              <w:t>, who act as PhD supervisors, are leading-edge researchers who give students an insight into current thinking and recent developments in their fields. Several teachers and supervisors are also involved in policy advice and formation and give students insights into real-world developments in empirical and institutional aspects of accounting, finance, economics and econometrics and the forces that shape them.</w:t>
            </w:r>
          </w:p>
          <w:p w:rsidR="00013DF1" w:rsidRPr="00013DF1" w:rsidRDefault="00013DF1" w:rsidP="003C1E62">
            <w:pPr>
              <w:tabs>
                <w:tab w:val="left" w:pos="-720"/>
              </w:tabs>
              <w:suppressAutoHyphens/>
              <w:rPr>
                <w:rFonts w:cs="Arial"/>
                <w:spacing w:val="-2"/>
              </w:rPr>
            </w:pPr>
          </w:p>
          <w:p w:rsidR="00013DF1" w:rsidRPr="00013DF1" w:rsidRDefault="00013DF1" w:rsidP="003C1E62">
            <w:pPr>
              <w:pStyle w:val="BodyText"/>
              <w:jc w:val="left"/>
              <w:rPr>
                <w:rFonts w:cs="Arial"/>
              </w:rPr>
            </w:pPr>
            <w:r w:rsidRPr="00013DF1">
              <w:rPr>
                <w:rFonts w:cs="Arial"/>
              </w:rPr>
              <w:t>Students have the opportunity to acquire hands-on experience of CIT as well as familiarity with electronic data sources and databases.</w:t>
            </w:r>
          </w:p>
          <w:p w:rsidR="00013DF1" w:rsidRPr="00013DF1" w:rsidRDefault="00013DF1" w:rsidP="003C1E62">
            <w:pPr>
              <w:tabs>
                <w:tab w:val="left" w:pos="-720"/>
              </w:tabs>
              <w:suppressAutoHyphens/>
              <w:rPr>
                <w:rFonts w:cs="Arial"/>
                <w:spacing w:val="-2"/>
              </w:rPr>
            </w:pPr>
          </w:p>
          <w:p w:rsidR="00013DF1" w:rsidRDefault="00013DF1" w:rsidP="003C1E62">
            <w:pPr>
              <w:tabs>
                <w:tab w:val="left" w:pos="-720"/>
              </w:tabs>
              <w:suppressAutoHyphens/>
              <w:rPr>
                <w:rFonts w:cs="Arial"/>
                <w:spacing w:val="-2"/>
              </w:rPr>
            </w:pPr>
            <w:r w:rsidRPr="00013DF1">
              <w:rPr>
                <w:rFonts w:cs="Arial"/>
                <w:iCs/>
                <w:spacing w:val="-2"/>
              </w:rPr>
              <w:t>Assessment strategies</w:t>
            </w:r>
            <w:r w:rsidRPr="00013DF1">
              <w:rPr>
                <w:rFonts w:cs="Arial"/>
                <w:spacing w:val="-2"/>
              </w:rPr>
              <w:t>:</w:t>
            </w:r>
          </w:p>
          <w:p w:rsidR="00013DF1" w:rsidRPr="00013DF1" w:rsidRDefault="00013DF1" w:rsidP="00013DF1">
            <w:pPr>
              <w:pStyle w:val="BodyTextIndent"/>
              <w:tabs>
                <w:tab w:val="left" w:pos="-720"/>
              </w:tabs>
              <w:suppressAutoHyphens/>
              <w:ind w:left="0" w:firstLine="0"/>
              <w:rPr>
                <w:rFonts w:cs="Arial"/>
                <w:b w:val="0"/>
                <w:bCs w:val="0"/>
                <w:iCs/>
                <w:color w:val="auto"/>
              </w:rPr>
            </w:pPr>
            <w:r w:rsidRPr="00013DF1">
              <w:rPr>
                <w:rFonts w:cs="Arial"/>
                <w:b w:val="0"/>
                <w:color w:val="auto"/>
              </w:rPr>
              <w:t xml:space="preserve">Summative assessment of knowledge and understanding and of subject-specific skills is primarily by 3hr unseen examinations at the end of each year for taught courses, together with the dissertation. </w:t>
            </w:r>
          </w:p>
          <w:p w:rsidR="00013DF1" w:rsidRPr="00013DF1" w:rsidRDefault="00013DF1" w:rsidP="003C1E62">
            <w:pPr>
              <w:pStyle w:val="BodyTextIndent"/>
              <w:tabs>
                <w:tab w:val="left" w:pos="-720"/>
              </w:tabs>
              <w:suppressAutoHyphens/>
              <w:rPr>
                <w:rFonts w:cs="Arial"/>
                <w:b w:val="0"/>
                <w:color w:val="auto"/>
              </w:rPr>
            </w:pPr>
          </w:p>
          <w:p w:rsidR="00013DF1" w:rsidRPr="00013DF1" w:rsidRDefault="00013DF1" w:rsidP="003C1E62">
            <w:pPr>
              <w:rPr>
                <w:rFonts w:cs="Arial"/>
                <w:bCs/>
                <w:iCs/>
              </w:rPr>
            </w:pPr>
            <w:r w:rsidRPr="00013DF1">
              <w:rPr>
                <w:rFonts w:cs="Arial"/>
                <w:spacing w:val="-2"/>
              </w:rPr>
              <w:t xml:space="preserve">Formative assessment is through class assignments, including </w:t>
            </w:r>
            <w:r w:rsidRPr="00013DF1">
              <w:rPr>
                <w:rFonts w:cs="Arial"/>
              </w:rPr>
              <w:t>numerical and computer-based exercises, critical essays and commentaries, and individual and group presentations, for example on case studies and mini-projects or on professional publications</w:t>
            </w:r>
            <w:r w:rsidRPr="00013DF1">
              <w:rPr>
                <w:rFonts w:cs="Arial"/>
                <w:bCs/>
                <w:iCs/>
              </w:rPr>
              <w:t>.</w:t>
            </w:r>
          </w:p>
          <w:p w:rsidR="00013DF1" w:rsidRPr="00013DF1" w:rsidRDefault="00013DF1" w:rsidP="003C1E62">
            <w:pPr>
              <w:rPr>
                <w:rFonts w:cs="Arial"/>
              </w:rPr>
            </w:pPr>
          </w:p>
          <w:p w:rsidR="00013DF1" w:rsidRPr="00013DF1" w:rsidRDefault="00013DF1" w:rsidP="003C1E62">
            <w:pPr>
              <w:rPr>
                <w:rFonts w:cs="Arial"/>
                <w:iCs/>
                <w:spacing w:val="-2"/>
              </w:rPr>
            </w:pPr>
            <w:r w:rsidRPr="00013DF1">
              <w:rPr>
                <w:rFonts w:cs="Arial"/>
                <w:spacing w:val="-2"/>
              </w:rPr>
              <w:t>Cognitive and non-subject specific skills are developed in parallel with the development of—and through the same teaching and assessment structures that are designed to achieve the appropriate levels of—the knowledge and understanding and subject specific skills described above</w:t>
            </w:r>
            <w:r w:rsidRPr="00013DF1">
              <w:rPr>
                <w:rFonts w:cs="Arial"/>
                <w:iCs/>
                <w:spacing w:val="-2"/>
              </w:rPr>
              <w:t>.</w:t>
            </w:r>
          </w:p>
          <w:p w:rsidR="00013DF1" w:rsidRPr="00013DF1" w:rsidRDefault="00013DF1" w:rsidP="003C1E62">
            <w:pPr>
              <w:rPr>
                <w:rFonts w:cs="Arial"/>
                <w:szCs w:val="20"/>
              </w:rPr>
            </w:pPr>
          </w:p>
        </w:tc>
      </w:tr>
    </w:tbl>
    <w:p w:rsidR="00013DF1" w:rsidRPr="00013DF1" w:rsidRDefault="00013DF1" w:rsidP="00013DF1">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013DF1" w:rsidRPr="00013DF1" w:rsidTr="003C1E62">
        <w:tblPrEx>
          <w:tblCellMar>
            <w:top w:w="0" w:type="dxa"/>
            <w:bottom w:w="0" w:type="dxa"/>
          </w:tblCellMar>
        </w:tblPrEx>
        <w:tc>
          <w:tcPr>
            <w:tcW w:w="495" w:type="dxa"/>
            <w:shd w:val="pct10" w:color="auto" w:fill="auto"/>
          </w:tcPr>
          <w:p w:rsidR="00013DF1" w:rsidRPr="00013DF1" w:rsidRDefault="00013DF1" w:rsidP="003C1E62">
            <w:pPr>
              <w:rPr>
                <w:rFonts w:cs="Arial"/>
                <w:b/>
                <w:bCs/>
                <w:szCs w:val="20"/>
              </w:rPr>
            </w:pPr>
            <w:r w:rsidRPr="00013DF1">
              <w:rPr>
                <w:rFonts w:cs="Arial"/>
                <w:b/>
                <w:bCs/>
                <w:szCs w:val="20"/>
              </w:rPr>
              <w:t xml:space="preserve">13. </w:t>
            </w:r>
          </w:p>
        </w:tc>
        <w:tc>
          <w:tcPr>
            <w:tcW w:w="8402" w:type="dxa"/>
            <w:shd w:val="pct10" w:color="auto" w:fill="auto"/>
          </w:tcPr>
          <w:p w:rsidR="00013DF1" w:rsidRPr="00013DF1" w:rsidRDefault="00013DF1" w:rsidP="003C1E62">
            <w:pPr>
              <w:rPr>
                <w:rFonts w:cs="Arial"/>
                <w:b/>
                <w:bCs/>
                <w:szCs w:val="20"/>
              </w:rPr>
            </w:pPr>
            <w:r w:rsidRPr="00013DF1">
              <w:rPr>
                <w:rFonts w:cs="Arial"/>
                <w:b/>
                <w:bCs/>
                <w:szCs w:val="20"/>
              </w:rPr>
              <w:t>Programme structures and requirements, levels, modules and awards</w:t>
            </w:r>
          </w:p>
        </w:tc>
      </w:tr>
      <w:tr w:rsidR="00013DF1" w:rsidRPr="00013DF1" w:rsidTr="003C1E62">
        <w:tblPrEx>
          <w:tblCellMar>
            <w:top w:w="0" w:type="dxa"/>
            <w:bottom w:w="0" w:type="dxa"/>
          </w:tblCellMar>
        </w:tblPrEx>
        <w:tc>
          <w:tcPr>
            <w:tcW w:w="8897" w:type="dxa"/>
            <w:gridSpan w:val="2"/>
          </w:tcPr>
          <w:p w:rsidR="00013DF1" w:rsidRDefault="00013DF1" w:rsidP="00013DF1">
            <w:pPr>
              <w:pStyle w:val="NormalWeb"/>
              <w:spacing w:before="0" w:beforeAutospacing="0" w:after="0" w:afterAutospacing="0"/>
              <w:rPr>
                <w:rFonts w:ascii="Arial" w:hAnsi="Arial" w:cs="Arial"/>
                <w:sz w:val="20"/>
                <w:szCs w:val="20"/>
              </w:rPr>
            </w:pPr>
          </w:p>
          <w:p w:rsidR="00013DF1" w:rsidRDefault="00013DF1" w:rsidP="00013DF1">
            <w:pPr>
              <w:pStyle w:val="NormalWeb"/>
              <w:spacing w:before="0" w:beforeAutospacing="0" w:after="0" w:afterAutospacing="0"/>
              <w:rPr>
                <w:rFonts w:ascii="Arial" w:hAnsi="Arial" w:cs="Arial"/>
                <w:sz w:val="20"/>
                <w:szCs w:val="20"/>
              </w:rPr>
            </w:pPr>
            <w:hyperlink r:id="rId6" w:history="1">
              <w:proofErr w:type="spellStart"/>
              <w:r w:rsidRPr="00013DF1">
                <w:rPr>
                  <w:rStyle w:val="Hyperlink"/>
                  <w:rFonts w:ascii="Arial" w:hAnsi="Arial" w:cs="Arial"/>
                  <w:sz w:val="20"/>
                  <w:szCs w:val="20"/>
                </w:rPr>
                <w:t>MRes</w:t>
              </w:r>
              <w:proofErr w:type="spellEnd"/>
              <w:r w:rsidRPr="00013DF1">
                <w:rPr>
                  <w:rStyle w:val="Hyperlink"/>
                  <w:rFonts w:ascii="Arial" w:hAnsi="Arial" w:cs="Arial"/>
                  <w:sz w:val="20"/>
                  <w:szCs w:val="20"/>
                </w:rPr>
                <w:t>/PhD in Finance</w:t>
              </w:r>
            </w:hyperlink>
          </w:p>
          <w:p w:rsidR="00013DF1" w:rsidRPr="00013DF1" w:rsidRDefault="00013DF1" w:rsidP="00013DF1">
            <w:pPr>
              <w:pStyle w:val="NormalWeb"/>
              <w:spacing w:before="0" w:beforeAutospacing="0" w:after="0" w:afterAutospacing="0"/>
              <w:rPr>
                <w:rFonts w:ascii="Arial" w:hAnsi="Arial" w:cs="Arial"/>
                <w:sz w:val="20"/>
                <w:szCs w:val="20"/>
              </w:rPr>
            </w:pPr>
          </w:p>
        </w:tc>
      </w:tr>
    </w:tbl>
    <w:p w:rsidR="00013DF1" w:rsidRPr="00013DF1" w:rsidRDefault="00013DF1" w:rsidP="00013DF1">
      <w:pPr>
        <w:rPr>
          <w:rFonts w:cs="Arial"/>
          <w:b/>
          <w:bCs/>
          <w:szCs w:val="20"/>
        </w:rPr>
      </w:pPr>
    </w:p>
    <w:p w:rsidR="00013DF1" w:rsidRPr="00013DF1" w:rsidRDefault="00013DF1" w:rsidP="00013DF1">
      <w:pPr>
        <w:rPr>
          <w:rFonts w:cs="Arial"/>
          <w:b/>
          <w:bCs/>
          <w:szCs w:val="20"/>
        </w:rPr>
      </w:pPr>
      <w:r w:rsidRPr="00013DF1">
        <w:rPr>
          <w:rFonts w:cs="Arial"/>
          <w:b/>
          <w:bCs/>
          <w:szCs w:val="20"/>
        </w:rPr>
        <w:t>Additional information</w:t>
      </w:r>
    </w:p>
    <w:p w:rsidR="00013DF1" w:rsidRPr="00013DF1" w:rsidRDefault="00013DF1" w:rsidP="00013DF1">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013DF1" w:rsidRPr="00013DF1" w:rsidTr="003C1E62">
        <w:tblPrEx>
          <w:tblCellMar>
            <w:top w:w="0" w:type="dxa"/>
            <w:bottom w:w="0" w:type="dxa"/>
          </w:tblCellMar>
        </w:tblPrEx>
        <w:tc>
          <w:tcPr>
            <w:tcW w:w="495" w:type="dxa"/>
            <w:shd w:val="pct10" w:color="auto" w:fill="auto"/>
          </w:tcPr>
          <w:p w:rsidR="00013DF1" w:rsidRPr="00013DF1" w:rsidRDefault="00013DF1" w:rsidP="003C1E62">
            <w:pPr>
              <w:rPr>
                <w:rFonts w:cs="Arial"/>
                <w:b/>
                <w:bCs/>
                <w:szCs w:val="20"/>
              </w:rPr>
            </w:pPr>
            <w:r w:rsidRPr="00013DF1">
              <w:rPr>
                <w:rFonts w:cs="Arial"/>
                <w:b/>
                <w:bCs/>
                <w:szCs w:val="20"/>
              </w:rPr>
              <w:t xml:space="preserve">14. </w:t>
            </w:r>
          </w:p>
        </w:tc>
        <w:tc>
          <w:tcPr>
            <w:tcW w:w="8402" w:type="dxa"/>
            <w:shd w:val="pct10" w:color="auto" w:fill="auto"/>
          </w:tcPr>
          <w:p w:rsidR="00013DF1" w:rsidRPr="00013DF1" w:rsidRDefault="00013DF1" w:rsidP="003C1E62">
            <w:pPr>
              <w:rPr>
                <w:rFonts w:cs="Arial"/>
                <w:b/>
                <w:bCs/>
                <w:szCs w:val="20"/>
              </w:rPr>
            </w:pPr>
            <w:r w:rsidRPr="00013DF1">
              <w:rPr>
                <w:rFonts w:cs="Arial"/>
                <w:b/>
                <w:bCs/>
                <w:szCs w:val="20"/>
              </w:rPr>
              <w:t>Criteria for admission to the programme</w:t>
            </w:r>
          </w:p>
        </w:tc>
      </w:tr>
      <w:tr w:rsidR="00013DF1" w:rsidRPr="00013DF1" w:rsidTr="003C1E62">
        <w:tblPrEx>
          <w:tblCellMar>
            <w:top w:w="0" w:type="dxa"/>
            <w:bottom w:w="0" w:type="dxa"/>
          </w:tblCellMar>
        </w:tblPrEx>
        <w:tc>
          <w:tcPr>
            <w:tcW w:w="8897" w:type="dxa"/>
            <w:gridSpan w:val="2"/>
          </w:tcPr>
          <w:p w:rsidR="00013DF1" w:rsidRDefault="00013DF1" w:rsidP="003C1E62">
            <w:pPr>
              <w:tabs>
                <w:tab w:val="left" w:pos="-720"/>
                <w:tab w:val="left" w:pos="0"/>
              </w:tabs>
              <w:suppressAutoHyphens/>
              <w:jc w:val="both"/>
              <w:rPr>
                <w:rFonts w:cs="Arial"/>
                <w:spacing w:val="-2"/>
                <w:szCs w:val="20"/>
              </w:rPr>
            </w:pPr>
          </w:p>
          <w:p w:rsidR="00013DF1" w:rsidRPr="00013DF1" w:rsidRDefault="00013DF1" w:rsidP="003C1E62">
            <w:pPr>
              <w:tabs>
                <w:tab w:val="left" w:pos="-720"/>
                <w:tab w:val="left" w:pos="0"/>
              </w:tabs>
              <w:suppressAutoHyphens/>
              <w:jc w:val="both"/>
              <w:rPr>
                <w:rFonts w:cs="Arial"/>
                <w:spacing w:val="-2"/>
                <w:szCs w:val="20"/>
              </w:rPr>
            </w:pPr>
            <w:r w:rsidRPr="00013DF1">
              <w:rPr>
                <w:rFonts w:cs="Arial"/>
                <w:spacing w:val="-2"/>
                <w:szCs w:val="20"/>
              </w:rPr>
              <w:t xml:space="preserve">Route 1 – Satisfactory performance (usually Distinction) in a Finance or Economics related </w:t>
            </w:r>
            <w:proofErr w:type="spellStart"/>
            <w:r w:rsidRPr="00013DF1">
              <w:rPr>
                <w:rFonts w:cs="Arial"/>
                <w:spacing w:val="-2"/>
                <w:szCs w:val="20"/>
              </w:rPr>
              <w:t>Masters</w:t>
            </w:r>
            <w:proofErr w:type="spellEnd"/>
            <w:r w:rsidRPr="00013DF1">
              <w:rPr>
                <w:rFonts w:cs="Arial"/>
                <w:spacing w:val="-2"/>
                <w:szCs w:val="20"/>
              </w:rPr>
              <w:t xml:space="preserve"> degree.</w:t>
            </w:r>
          </w:p>
          <w:p w:rsidR="00013DF1" w:rsidRDefault="00013DF1" w:rsidP="003C1E62">
            <w:pPr>
              <w:tabs>
                <w:tab w:val="left" w:pos="-720"/>
                <w:tab w:val="left" w:pos="0"/>
              </w:tabs>
              <w:suppressAutoHyphens/>
              <w:jc w:val="both"/>
              <w:rPr>
                <w:rFonts w:cs="Arial"/>
                <w:spacing w:val="-2"/>
                <w:szCs w:val="20"/>
              </w:rPr>
            </w:pPr>
            <w:r w:rsidRPr="00013DF1">
              <w:rPr>
                <w:rFonts w:cs="Arial"/>
                <w:spacing w:val="-2"/>
                <w:szCs w:val="20"/>
              </w:rPr>
              <w:t>Route 2 -  Satisfactory performance (usually Distinction) in the MSc Finance and Economics at LSE (or an equivalent programme, as judged by the programme director)</w:t>
            </w:r>
          </w:p>
          <w:p w:rsidR="00013DF1" w:rsidRPr="00013DF1" w:rsidRDefault="00013DF1" w:rsidP="003C1E62">
            <w:pPr>
              <w:tabs>
                <w:tab w:val="left" w:pos="-720"/>
                <w:tab w:val="left" w:pos="0"/>
              </w:tabs>
              <w:suppressAutoHyphens/>
              <w:jc w:val="both"/>
              <w:rPr>
                <w:rFonts w:cs="Arial"/>
                <w:i/>
                <w:spacing w:val="-2"/>
                <w:szCs w:val="20"/>
              </w:rPr>
            </w:pPr>
          </w:p>
        </w:tc>
      </w:tr>
    </w:tbl>
    <w:p w:rsidR="00013DF1" w:rsidRPr="00013DF1" w:rsidRDefault="00013DF1" w:rsidP="00013DF1">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013DF1" w:rsidRPr="00013DF1" w:rsidTr="003C1E62">
        <w:tblPrEx>
          <w:tblCellMar>
            <w:top w:w="0" w:type="dxa"/>
            <w:bottom w:w="0" w:type="dxa"/>
          </w:tblCellMar>
        </w:tblPrEx>
        <w:tc>
          <w:tcPr>
            <w:tcW w:w="495" w:type="dxa"/>
            <w:shd w:val="pct10" w:color="auto" w:fill="auto"/>
          </w:tcPr>
          <w:p w:rsidR="00013DF1" w:rsidRPr="00013DF1" w:rsidRDefault="00013DF1" w:rsidP="003C1E62">
            <w:pPr>
              <w:rPr>
                <w:rFonts w:cs="Arial"/>
                <w:b/>
                <w:bCs/>
                <w:szCs w:val="20"/>
              </w:rPr>
            </w:pPr>
            <w:r w:rsidRPr="00013DF1">
              <w:rPr>
                <w:rFonts w:cs="Arial"/>
                <w:b/>
                <w:bCs/>
                <w:szCs w:val="20"/>
              </w:rPr>
              <w:t xml:space="preserve">15. </w:t>
            </w:r>
          </w:p>
        </w:tc>
        <w:tc>
          <w:tcPr>
            <w:tcW w:w="8402" w:type="dxa"/>
            <w:shd w:val="pct10" w:color="auto" w:fill="auto"/>
          </w:tcPr>
          <w:p w:rsidR="00013DF1" w:rsidRPr="00013DF1" w:rsidRDefault="00013DF1" w:rsidP="003C1E62">
            <w:pPr>
              <w:rPr>
                <w:rFonts w:cs="Arial"/>
                <w:b/>
                <w:bCs/>
                <w:szCs w:val="20"/>
              </w:rPr>
            </w:pPr>
            <w:r w:rsidRPr="00013DF1">
              <w:rPr>
                <w:rFonts w:cs="Arial"/>
                <w:b/>
                <w:bCs/>
                <w:szCs w:val="20"/>
              </w:rPr>
              <w:t>Indicators of quality</w:t>
            </w:r>
          </w:p>
        </w:tc>
      </w:tr>
      <w:tr w:rsidR="00013DF1" w:rsidRPr="00013DF1" w:rsidTr="003C1E62">
        <w:tblPrEx>
          <w:tblCellMar>
            <w:top w:w="0" w:type="dxa"/>
            <w:bottom w:w="0" w:type="dxa"/>
          </w:tblCellMar>
        </w:tblPrEx>
        <w:tc>
          <w:tcPr>
            <w:tcW w:w="8897" w:type="dxa"/>
            <w:gridSpan w:val="2"/>
          </w:tcPr>
          <w:p w:rsidR="00013DF1" w:rsidRPr="00013DF1" w:rsidRDefault="00013DF1" w:rsidP="003C1E62">
            <w:pPr>
              <w:rPr>
                <w:rFonts w:cs="Arial"/>
                <w:i/>
                <w:szCs w:val="20"/>
              </w:rPr>
            </w:pPr>
          </w:p>
          <w:p w:rsidR="00013DF1" w:rsidRPr="00013DF1" w:rsidRDefault="00013DF1" w:rsidP="00013DF1">
            <w:pPr>
              <w:numPr>
                <w:ilvl w:val="0"/>
                <w:numId w:val="4"/>
              </w:numPr>
              <w:tabs>
                <w:tab w:val="clear" w:pos="360"/>
              </w:tabs>
              <w:autoSpaceDE w:val="0"/>
              <w:autoSpaceDN w:val="0"/>
              <w:rPr>
                <w:rFonts w:cs="Arial"/>
              </w:rPr>
            </w:pPr>
            <w:r w:rsidRPr="00013DF1">
              <w:rPr>
                <w:rFonts w:cs="Arial"/>
              </w:rPr>
              <w:t>Faculty in the Department of Finance are affiliated with the Financial Markets Group (‘FMG’) a major ESRC funded research centre</w:t>
            </w:r>
          </w:p>
          <w:p w:rsidR="00013DF1" w:rsidRPr="00013DF1" w:rsidRDefault="00013DF1" w:rsidP="00013DF1">
            <w:pPr>
              <w:numPr>
                <w:ilvl w:val="0"/>
                <w:numId w:val="3"/>
              </w:numPr>
              <w:tabs>
                <w:tab w:val="clear" w:pos="360"/>
              </w:tabs>
              <w:autoSpaceDE w:val="0"/>
              <w:autoSpaceDN w:val="0"/>
              <w:rPr>
                <w:rFonts w:cs="Arial"/>
              </w:rPr>
            </w:pPr>
            <w:r w:rsidRPr="00013DF1">
              <w:rPr>
                <w:rFonts w:cs="Arial"/>
              </w:rPr>
              <w:t xml:space="preserve">The Department is recognised as an FT+3 research training outlet by the ESRC. </w:t>
            </w:r>
          </w:p>
          <w:p w:rsidR="00013DF1" w:rsidRPr="00013DF1" w:rsidRDefault="00013DF1" w:rsidP="00013DF1">
            <w:pPr>
              <w:numPr>
                <w:ilvl w:val="0"/>
                <w:numId w:val="3"/>
              </w:numPr>
              <w:tabs>
                <w:tab w:val="clear" w:pos="360"/>
              </w:tabs>
              <w:autoSpaceDE w:val="0"/>
              <w:autoSpaceDN w:val="0"/>
              <w:rPr>
                <w:rFonts w:cs="Arial"/>
              </w:rPr>
            </w:pPr>
            <w:r w:rsidRPr="00013DF1">
              <w:rPr>
                <w:rFonts w:cs="Arial"/>
              </w:rPr>
              <w:t xml:space="preserve">The School participates in the Postgraduate Research Experience Survey (PRES) which provides indicators of student satisfaction with various aspects of their research degree programme. Results from this survey have been positive for the School. </w:t>
            </w:r>
          </w:p>
          <w:p w:rsidR="00013DF1" w:rsidRPr="00013DF1" w:rsidRDefault="00013DF1" w:rsidP="00013DF1">
            <w:pPr>
              <w:numPr>
                <w:ilvl w:val="0"/>
                <w:numId w:val="3"/>
              </w:numPr>
              <w:tabs>
                <w:tab w:val="clear" w:pos="360"/>
              </w:tabs>
              <w:autoSpaceDE w:val="0"/>
              <w:autoSpaceDN w:val="0"/>
              <w:rPr>
                <w:rFonts w:cs="Arial"/>
                <w:i/>
                <w:szCs w:val="20"/>
              </w:rPr>
            </w:pPr>
            <w:r w:rsidRPr="00013DF1">
              <w:rPr>
                <w:rFonts w:cs="Arial"/>
              </w:rPr>
              <w:t>E</w:t>
            </w:r>
            <w:r w:rsidRPr="00013DF1">
              <w:rPr>
                <w:rFonts w:cs="Arial"/>
              </w:rPr>
              <w:t>xaminers’ reports from viva examinations are considered centrally within the School and provide indicators on</w:t>
            </w:r>
            <w:proofErr w:type="gramStart"/>
            <w:r w:rsidRPr="00013DF1">
              <w:rPr>
                <w:rFonts w:cs="Arial"/>
              </w:rPr>
              <w:t>  the</w:t>
            </w:r>
            <w:proofErr w:type="gramEnd"/>
            <w:r w:rsidRPr="00013DF1">
              <w:rPr>
                <w:rFonts w:cs="Arial"/>
              </w:rPr>
              <w:t xml:space="preserve"> quality of the research student experience and supervision quality.</w:t>
            </w:r>
            <w:r w:rsidRPr="00013DF1">
              <w:t xml:space="preserve"> </w:t>
            </w:r>
          </w:p>
          <w:p w:rsidR="00013DF1" w:rsidRPr="00013DF1" w:rsidRDefault="00013DF1" w:rsidP="00013DF1">
            <w:pPr>
              <w:autoSpaceDE w:val="0"/>
              <w:autoSpaceDN w:val="0"/>
              <w:ind w:left="283"/>
              <w:rPr>
                <w:rFonts w:cs="Arial"/>
                <w:i/>
                <w:szCs w:val="20"/>
              </w:rPr>
            </w:pPr>
          </w:p>
        </w:tc>
      </w:tr>
    </w:tbl>
    <w:p w:rsidR="00013DF1" w:rsidRPr="00013DF1" w:rsidRDefault="00013DF1" w:rsidP="00013DF1">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013DF1" w:rsidRPr="00013DF1" w:rsidTr="003C1E62">
        <w:tblPrEx>
          <w:tblCellMar>
            <w:top w:w="0" w:type="dxa"/>
            <w:bottom w:w="0" w:type="dxa"/>
          </w:tblCellMar>
        </w:tblPrEx>
        <w:tc>
          <w:tcPr>
            <w:tcW w:w="495" w:type="dxa"/>
            <w:shd w:val="pct10" w:color="auto" w:fill="auto"/>
          </w:tcPr>
          <w:p w:rsidR="00013DF1" w:rsidRPr="00013DF1" w:rsidRDefault="00013DF1" w:rsidP="003C1E62">
            <w:pPr>
              <w:rPr>
                <w:rFonts w:cs="Arial"/>
                <w:b/>
                <w:bCs/>
                <w:szCs w:val="20"/>
              </w:rPr>
            </w:pPr>
            <w:r w:rsidRPr="00013DF1">
              <w:rPr>
                <w:rFonts w:cs="Arial"/>
                <w:b/>
                <w:bCs/>
                <w:szCs w:val="20"/>
              </w:rPr>
              <w:lastRenderedPageBreak/>
              <w:t xml:space="preserve">16. </w:t>
            </w:r>
          </w:p>
        </w:tc>
        <w:tc>
          <w:tcPr>
            <w:tcW w:w="8402" w:type="dxa"/>
            <w:shd w:val="pct10" w:color="auto" w:fill="auto"/>
          </w:tcPr>
          <w:p w:rsidR="00013DF1" w:rsidRPr="00013DF1" w:rsidRDefault="00013DF1" w:rsidP="003C1E62">
            <w:pPr>
              <w:rPr>
                <w:rFonts w:cs="Arial"/>
                <w:b/>
                <w:bCs/>
                <w:szCs w:val="20"/>
              </w:rPr>
            </w:pPr>
            <w:r w:rsidRPr="00013DF1">
              <w:rPr>
                <w:rFonts w:cs="Arial"/>
                <w:b/>
                <w:bCs/>
                <w:szCs w:val="20"/>
              </w:rPr>
              <w:t>Methods for evaluating and improving the quality and standard of teaching and learning</w:t>
            </w:r>
          </w:p>
        </w:tc>
      </w:tr>
      <w:tr w:rsidR="00013DF1" w:rsidRPr="00013DF1" w:rsidTr="003C1E62">
        <w:tblPrEx>
          <w:tblCellMar>
            <w:top w:w="0" w:type="dxa"/>
            <w:bottom w:w="0" w:type="dxa"/>
          </w:tblCellMar>
        </w:tblPrEx>
        <w:tc>
          <w:tcPr>
            <w:tcW w:w="8897" w:type="dxa"/>
            <w:gridSpan w:val="2"/>
          </w:tcPr>
          <w:p w:rsidR="00013DF1" w:rsidRPr="00013DF1" w:rsidRDefault="00013DF1" w:rsidP="003C1E62">
            <w:pPr>
              <w:rPr>
                <w:rFonts w:cs="Arial"/>
                <w:i/>
                <w:szCs w:val="20"/>
              </w:rPr>
            </w:pPr>
          </w:p>
          <w:p w:rsidR="00013DF1" w:rsidRPr="00013DF1" w:rsidRDefault="00013DF1" w:rsidP="00013DF1">
            <w:pPr>
              <w:numPr>
                <w:ilvl w:val="0"/>
                <w:numId w:val="2"/>
              </w:numPr>
              <w:ind w:left="283" w:hanging="283"/>
              <w:rPr>
                <w:rFonts w:cs="Arial"/>
              </w:rPr>
            </w:pPr>
            <w:r w:rsidRPr="00013DF1">
              <w:rPr>
                <w:rFonts w:cs="Arial"/>
              </w:rPr>
              <w:t xml:space="preserve">Taught courses on MPhil/PhD programmes are included in the School’s internal student satisfaction survey, where such courses are provided at the Masters’ level, as conducted by the Teaching Quality Assurance and Review Office. </w:t>
            </w:r>
          </w:p>
          <w:p w:rsidR="00013DF1" w:rsidRPr="00013DF1" w:rsidRDefault="00013DF1" w:rsidP="00013DF1">
            <w:pPr>
              <w:numPr>
                <w:ilvl w:val="0"/>
                <w:numId w:val="2"/>
              </w:numPr>
              <w:ind w:left="283" w:hanging="283"/>
              <w:rPr>
                <w:rFonts w:cs="Arial"/>
              </w:rPr>
            </w:pPr>
            <w:r w:rsidRPr="00013DF1">
              <w:rPr>
                <w:rFonts w:cs="Arial"/>
              </w:rPr>
              <w:t xml:space="preserve">The Methodology Institute offers methodological training across all MPhil/PhD programme and transferrable study skills training courses are offered by the TLC for all MPhil/PhD students: this central resource enhances the standard of teaching and learning for all research students across the School. </w:t>
            </w:r>
          </w:p>
          <w:p w:rsidR="00013DF1" w:rsidRPr="00013DF1" w:rsidRDefault="00013DF1" w:rsidP="00013DF1">
            <w:pPr>
              <w:numPr>
                <w:ilvl w:val="0"/>
                <w:numId w:val="2"/>
              </w:numPr>
              <w:tabs>
                <w:tab w:val="clear" w:pos="360"/>
              </w:tabs>
              <w:ind w:left="283" w:hanging="283"/>
              <w:rPr>
                <w:rFonts w:cs="Arial"/>
              </w:rPr>
            </w:pPr>
            <w:r w:rsidRPr="00013DF1">
              <w:rPr>
                <w:rFonts w:cs="Arial"/>
              </w:rPr>
              <w:t>The Teaching and Learning Centre (TLC) runs the Postgraduate Research Experience Survey</w:t>
            </w:r>
            <w:r>
              <w:rPr>
                <w:rFonts w:cs="Arial"/>
              </w:rPr>
              <w:t xml:space="preserve"> </w:t>
            </w:r>
            <w:r w:rsidRPr="00013DF1">
              <w:rPr>
                <w:rFonts w:cs="Arial"/>
              </w:rPr>
              <w:t>(PRES) and distributes results to departments.  Survey results are considered by School Committees (Research Degrees Sub-Committee &amp; Teaching, Learnin</w:t>
            </w:r>
            <w:r>
              <w:rPr>
                <w:rFonts w:cs="Arial"/>
              </w:rPr>
              <w:t xml:space="preserve">g and Assessment </w:t>
            </w:r>
            <w:r w:rsidRPr="00013DF1">
              <w:rPr>
                <w:rFonts w:cs="Arial"/>
              </w:rPr>
              <w:t>Committee) as well as within academic departments.  Any issues arising from the PRES would be</w:t>
            </w:r>
            <w:r w:rsidRPr="00013DF1">
              <w:rPr>
                <w:rFonts w:cs="Arial"/>
              </w:rPr>
              <w:t xml:space="preserve"> </w:t>
            </w:r>
            <w:r w:rsidRPr="00013DF1">
              <w:rPr>
                <w:rFonts w:cs="Arial"/>
              </w:rPr>
              <w:t xml:space="preserve">addressed by the appropriate body/department. </w:t>
            </w:r>
          </w:p>
          <w:p w:rsidR="00013DF1" w:rsidRPr="00013DF1" w:rsidRDefault="00013DF1" w:rsidP="00013DF1">
            <w:pPr>
              <w:numPr>
                <w:ilvl w:val="0"/>
                <w:numId w:val="2"/>
              </w:numPr>
              <w:tabs>
                <w:tab w:val="clear" w:pos="360"/>
              </w:tabs>
              <w:ind w:left="283" w:hanging="283"/>
              <w:rPr>
                <w:rFonts w:cs="Arial"/>
              </w:rPr>
            </w:pPr>
            <w:r w:rsidRPr="00013DF1">
              <w:rPr>
                <w:rFonts w:cs="Arial"/>
              </w:rPr>
              <w:t>TLAC review of the Department once every five years.</w:t>
            </w:r>
          </w:p>
          <w:p w:rsidR="00013DF1" w:rsidRPr="00013DF1" w:rsidRDefault="00013DF1" w:rsidP="00013DF1">
            <w:pPr>
              <w:rPr>
                <w:rFonts w:cs="Arial"/>
              </w:rPr>
            </w:pPr>
          </w:p>
          <w:p w:rsidR="00013DF1" w:rsidRPr="00013DF1" w:rsidRDefault="00013DF1" w:rsidP="00013DF1">
            <w:pPr>
              <w:pStyle w:val="BodyTextIndent"/>
              <w:ind w:left="0" w:firstLine="0"/>
              <w:rPr>
                <w:rFonts w:cs="Arial"/>
                <w:b w:val="0"/>
                <w:color w:val="auto"/>
              </w:rPr>
            </w:pPr>
            <w:r w:rsidRPr="00013DF1">
              <w:rPr>
                <w:rFonts w:cs="Arial"/>
                <w:b w:val="0"/>
                <w:color w:val="auto"/>
              </w:rPr>
              <w:t xml:space="preserve">The Department’s quality evaluation procedures are coordinated through its Teaching Quality Enhancement Panel. Primary responsibility lies with individual course leaders, course lecturers, class teachers, and supervisors and their own self-evaluation is focussed primarily through the Department’s annual course reviews and peer-teaching observations, and the Department's mentoring and staff appraisal processes. </w:t>
            </w:r>
          </w:p>
          <w:p w:rsidR="00013DF1" w:rsidRPr="00013DF1" w:rsidRDefault="00013DF1" w:rsidP="003C1E62">
            <w:pPr>
              <w:pStyle w:val="BodyTextIndent"/>
              <w:rPr>
                <w:rFonts w:cs="Arial"/>
                <w:color w:val="auto"/>
              </w:rPr>
            </w:pPr>
          </w:p>
          <w:p w:rsidR="00013DF1" w:rsidRPr="00013DF1" w:rsidRDefault="00013DF1" w:rsidP="003C1E62">
            <w:pPr>
              <w:pStyle w:val="BodyTextIndent"/>
              <w:rPr>
                <w:rFonts w:cs="Arial"/>
                <w:color w:val="auto"/>
              </w:rPr>
            </w:pPr>
            <w:r w:rsidRPr="00013DF1">
              <w:rPr>
                <w:rFonts w:cs="Arial"/>
                <w:color w:val="auto"/>
              </w:rPr>
              <w:t>Other Departmental structures and processes include:</w:t>
            </w:r>
          </w:p>
          <w:p w:rsidR="00013DF1" w:rsidRPr="00013DF1" w:rsidRDefault="00013DF1" w:rsidP="00013DF1">
            <w:pPr>
              <w:numPr>
                <w:ilvl w:val="0"/>
                <w:numId w:val="2"/>
              </w:numPr>
              <w:autoSpaceDE w:val="0"/>
              <w:autoSpaceDN w:val="0"/>
              <w:ind w:left="283" w:hanging="283"/>
              <w:rPr>
                <w:rFonts w:cs="Arial"/>
              </w:rPr>
            </w:pPr>
            <w:proofErr w:type="gramStart"/>
            <w:r w:rsidRPr="00013DF1">
              <w:rPr>
                <w:rFonts w:cs="Arial"/>
              </w:rPr>
              <w:t>ad</w:t>
            </w:r>
            <w:proofErr w:type="gramEnd"/>
            <w:r w:rsidRPr="00013DF1">
              <w:rPr>
                <w:rFonts w:cs="Arial"/>
              </w:rPr>
              <w:t xml:space="preserve"> hoc reviews such as the recent review of postgraduate finance courses, which has led to the designation of the different specialist pathways and a wider choice of half-unit modules in response to student demand </w:t>
            </w:r>
            <w:r w:rsidRPr="00013DF1">
              <w:rPr>
                <w:rFonts w:cs="Arial"/>
                <w:b/>
                <w:bCs/>
                <w:i/>
                <w:iCs/>
              </w:rPr>
              <w:t>.</w:t>
            </w:r>
          </w:p>
          <w:p w:rsidR="00013DF1" w:rsidRPr="00013DF1" w:rsidRDefault="00013DF1" w:rsidP="00013DF1">
            <w:pPr>
              <w:numPr>
                <w:ilvl w:val="0"/>
                <w:numId w:val="2"/>
              </w:numPr>
              <w:autoSpaceDE w:val="0"/>
              <w:autoSpaceDN w:val="0"/>
              <w:ind w:left="283" w:hanging="283"/>
              <w:rPr>
                <w:rFonts w:cs="Arial"/>
              </w:rPr>
            </w:pPr>
            <w:proofErr w:type="gramStart"/>
            <w:r w:rsidRPr="00013DF1">
              <w:rPr>
                <w:rFonts w:cs="Arial"/>
              </w:rPr>
              <w:t>the</w:t>
            </w:r>
            <w:proofErr w:type="gramEnd"/>
            <w:r w:rsidRPr="00013DF1">
              <w:rPr>
                <w:rFonts w:cs="Arial"/>
              </w:rPr>
              <w:t xml:space="preserve"> twice-yearly Departmental Postgraduate Review Committee, which examines student performance as well as reviewing the structure of the PhD programme.</w:t>
            </w:r>
          </w:p>
          <w:p w:rsidR="00013DF1" w:rsidRPr="00013DF1" w:rsidRDefault="00013DF1" w:rsidP="00013DF1">
            <w:pPr>
              <w:numPr>
                <w:ilvl w:val="0"/>
                <w:numId w:val="2"/>
              </w:numPr>
              <w:autoSpaceDE w:val="0"/>
              <w:autoSpaceDN w:val="0"/>
              <w:ind w:left="283" w:hanging="283"/>
              <w:rPr>
                <w:rFonts w:cs="Arial"/>
              </w:rPr>
            </w:pPr>
            <w:r w:rsidRPr="00013DF1">
              <w:rPr>
                <w:rFonts w:cs="Arial"/>
              </w:rPr>
              <w:t>the termly Departmental meeting</w:t>
            </w:r>
          </w:p>
          <w:p w:rsidR="00013DF1" w:rsidRPr="00013DF1" w:rsidRDefault="00013DF1" w:rsidP="00013DF1">
            <w:pPr>
              <w:numPr>
                <w:ilvl w:val="0"/>
                <w:numId w:val="2"/>
              </w:numPr>
              <w:autoSpaceDE w:val="0"/>
              <w:autoSpaceDN w:val="0"/>
              <w:ind w:left="283" w:hanging="283"/>
              <w:rPr>
                <w:rFonts w:cs="Arial"/>
              </w:rPr>
            </w:pPr>
            <w:r w:rsidRPr="00013DF1">
              <w:rPr>
                <w:rFonts w:cs="Arial"/>
              </w:rPr>
              <w:t xml:space="preserve">the responsibilities of the Programme Directors </w:t>
            </w:r>
          </w:p>
          <w:p w:rsidR="00013DF1" w:rsidRPr="00013DF1" w:rsidRDefault="00013DF1" w:rsidP="00013DF1">
            <w:pPr>
              <w:numPr>
                <w:ilvl w:val="0"/>
                <w:numId w:val="2"/>
              </w:numPr>
              <w:autoSpaceDE w:val="0"/>
              <w:autoSpaceDN w:val="0"/>
              <w:ind w:left="283" w:hanging="283"/>
              <w:rPr>
                <w:rFonts w:cs="Arial"/>
                <w:i/>
                <w:szCs w:val="20"/>
              </w:rPr>
            </w:pPr>
            <w:proofErr w:type="gramStart"/>
            <w:r w:rsidRPr="00013DF1">
              <w:rPr>
                <w:rFonts w:cs="Arial"/>
              </w:rPr>
              <w:t>student</w:t>
            </w:r>
            <w:proofErr w:type="gramEnd"/>
            <w:r w:rsidRPr="00013DF1">
              <w:rPr>
                <w:rFonts w:cs="Arial"/>
              </w:rPr>
              <w:t xml:space="preserve"> feedback and consultation through the PhD Staff-Student Liaison Committee (SSLC).</w:t>
            </w:r>
          </w:p>
          <w:p w:rsidR="00013DF1" w:rsidRPr="00013DF1" w:rsidRDefault="00013DF1" w:rsidP="00013DF1">
            <w:pPr>
              <w:autoSpaceDE w:val="0"/>
              <w:autoSpaceDN w:val="0"/>
              <w:rPr>
                <w:rFonts w:cs="Arial"/>
                <w:i/>
                <w:szCs w:val="20"/>
              </w:rPr>
            </w:pPr>
          </w:p>
        </w:tc>
      </w:tr>
    </w:tbl>
    <w:p w:rsidR="00FB5D5F" w:rsidRPr="00013DF1" w:rsidRDefault="00FB5D5F"/>
    <w:sectPr w:rsidR="00FB5D5F" w:rsidRPr="00013D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D5626"/>
    <w:multiLevelType w:val="hybridMultilevel"/>
    <w:tmpl w:val="63FE9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9213EDE"/>
    <w:multiLevelType w:val="multilevel"/>
    <w:tmpl w:val="1AD4846C"/>
    <w:lvl w:ilvl="0">
      <w:start w:val="1"/>
      <w:numFmt w:val="bullet"/>
      <w:lvlText w:val=""/>
      <w:lvlJc w:val="left"/>
      <w:pPr>
        <w:tabs>
          <w:tab w:val="num" w:pos="360"/>
        </w:tabs>
      </w:pPr>
      <w:rPr>
        <w:rFonts w:ascii="Symbol" w:hAnsi="Symbol" w:cs="Times New Roman" w:hint="default"/>
        <w:sz w:val="16"/>
        <w:szCs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2">
    <w:nsid w:val="60F1543A"/>
    <w:multiLevelType w:val="singleLevel"/>
    <w:tmpl w:val="6E80C04C"/>
    <w:lvl w:ilvl="0">
      <w:start w:val="1"/>
      <w:numFmt w:val="bullet"/>
      <w:lvlText w:val=""/>
      <w:lvlJc w:val="left"/>
      <w:pPr>
        <w:tabs>
          <w:tab w:val="num" w:pos="360"/>
        </w:tabs>
        <w:ind w:left="283" w:hanging="283"/>
      </w:pPr>
      <w:rPr>
        <w:rFonts w:ascii="Symbol" w:hAnsi="Symbol" w:cs="Times New Roman" w:hint="default"/>
      </w:rPr>
    </w:lvl>
  </w:abstractNum>
  <w:abstractNum w:abstractNumId="3">
    <w:nsid w:val="6A2423EF"/>
    <w:multiLevelType w:val="singleLevel"/>
    <w:tmpl w:val="6E80C04C"/>
    <w:lvl w:ilvl="0">
      <w:start w:val="1"/>
      <w:numFmt w:val="bullet"/>
      <w:lvlText w:val=""/>
      <w:lvlJc w:val="left"/>
      <w:pPr>
        <w:tabs>
          <w:tab w:val="num" w:pos="360"/>
        </w:tabs>
        <w:ind w:left="283" w:hanging="283"/>
      </w:pPr>
      <w:rPr>
        <w:rFonts w:ascii="Symbol" w:hAnsi="Symbol" w:cs="Times New Roman"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DF1"/>
    <w:rsid w:val="00013DF1"/>
    <w:rsid w:val="00FB5D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DF1"/>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013DF1"/>
    <w:pPr>
      <w:keepNext/>
      <w:outlineLvl w:val="0"/>
    </w:pPr>
    <w:rPr>
      <w:b/>
      <w:color w:val="00008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3DF1"/>
    <w:rPr>
      <w:rFonts w:ascii="Arial" w:eastAsia="Times New Roman" w:hAnsi="Arial" w:cs="Times New Roman"/>
      <w:b/>
      <w:color w:val="000080"/>
      <w:sz w:val="20"/>
      <w:szCs w:val="20"/>
    </w:rPr>
  </w:style>
  <w:style w:type="paragraph" w:styleId="CommentText">
    <w:name w:val="annotation text"/>
    <w:basedOn w:val="Normal"/>
    <w:link w:val="CommentTextChar"/>
    <w:semiHidden/>
    <w:rsid w:val="00013DF1"/>
    <w:rPr>
      <w:szCs w:val="20"/>
    </w:rPr>
  </w:style>
  <w:style w:type="character" w:customStyle="1" w:styleId="CommentTextChar">
    <w:name w:val="Comment Text Char"/>
    <w:basedOn w:val="DefaultParagraphFont"/>
    <w:link w:val="CommentText"/>
    <w:semiHidden/>
    <w:rsid w:val="00013DF1"/>
    <w:rPr>
      <w:rFonts w:ascii="Arial" w:eastAsia="Times New Roman" w:hAnsi="Arial" w:cs="Times New Roman"/>
      <w:sz w:val="20"/>
      <w:szCs w:val="20"/>
    </w:rPr>
  </w:style>
  <w:style w:type="paragraph" w:styleId="BodyText">
    <w:name w:val="Body Text"/>
    <w:basedOn w:val="Normal"/>
    <w:link w:val="BodyTextChar"/>
    <w:rsid w:val="00013DF1"/>
    <w:pPr>
      <w:jc w:val="right"/>
    </w:pPr>
  </w:style>
  <w:style w:type="character" w:customStyle="1" w:styleId="BodyTextChar">
    <w:name w:val="Body Text Char"/>
    <w:basedOn w:val="DefaultParagraphFont"/>
    <w:link w:val="BodyText"/>
    <w:rsid w:val="00013DF1"/>
    <w:rPr>
      <w:rFonts w:ascii="Arial" w:eastAsia="Times New Roman" w:hAnsi="Arial" w:cs="Times New Roman"/>
      <w:sz w:val="20"/>
      <w:szCs w:val="24"/>
    </w:rPr>
  </w:style>
  <w:style w:type="character" w:styleId="Hyperlink">
    <w:name w:val="Hyperlink"/>
    <w:uiPriority w:val="99"/>
    <w:rsid w:val="00013DF1"/>
    <w:rPr>
      <w:color w:val="0000FF"/>
      <w:u w:val="single"/>
    </w:rPr>
  </w:style>
  <w:style w:type="paragraph" w:styleId="BodyTextIndent">
    <w:name w:val="Body Text Indent"/>
    <w:basedOn w:val="Normal"/>
    <w:link w:val="BodyTextIndentChar"/>
    <w:rsid w:val="00013DF1"/>
    <w:pPr>
      <w:ind w:left="720" w:hanging="720"/>
    </w:pPr>
    <w:rPr>
      <w:b/>
      <w:bCs/>
      <w:color w:val="000000"/>
    </w:rPr>
  </w:style>
  <w:style w:type="character" w:customStyle="1" w:styleId="BodyTextIndentChar">
    <w:name w:val="Body Text Indent Char"/>
    <w:basedOn w:val="DefaultParagraphFont"/>
    <w:link w:val="BodyTextIndent"/>
    <w:rsid w:val="00013DF1"/>
    <w:rPr>
      <w:rFonts w:ascii="Arial" w:eastAsia="Times New Roman" w:hAnsi="Arial" w:cs="Times New Roman"/>
      <w:b/>
      <w:bCs/>
      <w:color w:val="000000"/>
      <w:sz w:val="20"/>
      <w:szCs w:val="24"/>
    </w:rPr>
  </w:style>
  <w:style w:type="paragraph" w:styleId="NormalWeb">
    <w:name w:val="Normal (Web)"/>
    <w:basedOn w:val="Normal"/>
    <w:rsid w:val="00013DF1"/>
    <w:pPr>
      <w:spacing w:before="100" w:beforeAutospacing="1" w:after="100" w:afterAutospacing="1"/>
    </w:pPr>
    <w:rPr>
      <w:rFonts w:ascii="Arial Unicode MS" w:eastAsia="Arial Unicode MS" w:hAnsi="Arial Unicode MS" w:cs="Arial Unicode M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DF1"/>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013DF1"/>
    <w:pPr>
      <w:keepNext/>
      <w:outlineLvl w:val="0"/>
    </w:pPr>
    <w:rPr>
      <w:b/>
      <w:color w:val="00008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3DF1"/>
    <w:rPr>
      <w:rFonts w:ascii="Arial" w:eastAsia="Times New Roman" w:hAnsi="Arial" w:cs="Times New Roman"/>
      <w:b/>
      <w:color w:val="000080"/>
      <w:sz w:val="20"/>
      <w:szCs w:val="20"/>
    </w:rPr>
  </w:style>
  <w:style w:type="paragraph" w:styleId="CommentText">
    <w:name w:val="annotation text"/>
    <w:basedOn w:val="Normal"/>
    <w:link w:val="CommentTextChar"/>
    <w:semiHidden/>
    <w:rsid w:val="00013DF1"/>
    <w:rPr>
      <w:szCs w:val="20"/>
    </w:rPr>
  </w:style>
  <w:style w:type="character" w:customStyle="1" w:styleId="CommentTextChar">
    <w:name w:val="Comment Text Char"/>
    <w:basedOn w:val="DefaultParagraphFont"/>
    <w:link w:val="CommentText"/>
    <w:semiHidden/>
    <w:rsid w:val="00013DF1"/>
    <w:rPr>
      <w:rFonts w:ascii="Arial" w:eastAsia="Times New Roman" w:hAnsi="Arial" w:cs="Times New Roman"/>
      <w:sz w:val="20"/>
      <w:szCs w:val="20"/>
    </w:rPr>
  </w:style>
  <w:style w:type="paragraph" w:styleId="BodyText">
    <w:name w:val="Body Text"/>
    <w:basedOn w:val="Normal"/>
    <w:link w:val="BodyTextChar"/>
    <w:rsid w:val="00013DF1"/>
    <w:pPr>
      <w:jc w:val="right"/>
    </w:pPr>
  </w:style>
  <w:style w:type="character" w:customStyle="1" w:styleId="BodyTextChar">
    <w:name w:val="Body Text Char"/>
    <w:basedOn w:val="DefaultParagraphFont"/>
    <w:link w:val="BodyText"/>
    <w:rsid w:val="00013DF1"/>
    <w:rPr>
      <w:rFonts w:ascii="Arial" w:eastAsia="Times New Roman" w:hAnsi="Arial" w:cs="Times New Roman"/>
      <w:sz w:val="20"/>
      <w:szCs w:val="24"/>
    </w:rPr>
  </w:style>
  <w:style w:type="character" w:styleId="Hyperlink">
    <w:name w:val="Hyperlink"/>
    <w:uiPriority w:val="99"/>
    <w:rsid w:val="00013DF1"/>
    <w:rPr>
      <w:color w:val="0000FF"/>
      <w:u w:val="single"/>
    </w:rPr>
  </w:style>
  <w:style w:type="paragraph" w:styleId="BodyTextIndent">
    <w:name w:val="Body Text Indent"/>
    <w:basedOn w:val="Normal"/>
    <w:link w:val="BodyTextIndentChar"/>
    <w:rsid w:val="00013DF1"/>
    <w:pPr>
      <w:ind w:left="720" w:hanging="720"/>
    </w:pPr>
    <w:rPr>
      <w:b/>
      <w:bCs/>
      <w:color w:val="000000"/>
    </w:rPr>
  </w:style>
  <w:style w:type="character" w:customStyle="1" w:styleId="BodyTextIndentChar">
    <w:name w:val="Body Text Indent Char"/>
    <w:basedOn w:val="DefaultParagraphFont"/>
    <w:link w:val="BodyTextIndent"/>
    <w:rsid w:val="00013DF1"/>
    <w:rPr>
      <w:rFonts w:ascii="Arial" w:eastAsia="Times New Roman" w:hAnsi="Arial" w:cs="Times New Roman"/>
      <w:b/>
      <w:bCs/>
      <w:color w:val="000000"/>
      <w:sz w:val="20"/>
      <w:szCs w:val="24"/>
    </w:rPr>
  </w:style>
  <w:style w:type="paragraph" w:styleId="NormalWeb">
    <w:name w:val="Normal (Web)"/>
    <w:basedOn w:val="Normal"/>
    <w:rsid w:val="00013DF1"/>
    <w:pPr>
      <w:spacing w:before="100" w:beforeAutospacing="1" w:after="100" w:afterAutospacing="1"/>
    </w:pPr>
    <w:rPr>
      <w:rFonts w:ascii="Arial Unicode MS" w:eastAsia="Arial Unicode MS" w:hAnsi="Arial Unicode MS" w:cs="Arial Unicode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se.ac.uk/resources/calendar/programmeRegulations/mResPhD/mResPhDinFinance.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223B5C5D.dotm</Template>
  <TotalTime>5</TotalTime>
  <Pages>3</Pages>
  <Words>1213</Words>
  <Characters>6920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8117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Foxcroft</dc:creator>
  <cp:lastModifiedBy>Foxcroft</cp:lastModifiedBy>
  <cp:revision>1</cp:revision>
  <dcterms:created xsi:type="dcterms:W3CDTF">2014-11-05T14:31:00Z</dcterms:created>
  <dcterms:modified xsi:type="dcterms:W3CDTF">2014-11-05T14:38:00Z</dcterms:modified>
</cp:coreProperties>
</file>