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F9B" w:rsidRDefault="00BF4F9B" w:rsidP="00BF4F9B">
      <w:pPr>
        <w:pStyle w:val="Heading1"/>
        <w:rPr>
          <w:rFonts w:cs="Arial"/>
          <w:color w:val="auto"/>
        </w:rPr>
      </w:pPr>
    </w:p>
    <w:p w:rsidR="00BF4F9B" w:rsidRDefault="00BF4F9B" w:rsidP="00BF4F9B">
      <w:pPr>
        <w:pStyle w:val="Heading1"/>
        <w:rPr>
          <w:color w:val="auto"/>
        </w:rPr>
      </w:pPr>
      <w:r>
        <w:rPr>
          <w:rFonts w:cs="Arial"/>
          <w:color w:val="auto"/>
        </w:rPr>
        <w:t>PROGRAMME SPECIFICATION</w:t>
      </w:r>
      <w:bookmarkStart w:id="0" w:name="_GoBack"/>
      <w:bookmarkEnd w:id="0"/>
      <w:r w:rsidR="0035455D">
        <w:rPr>
          <w:rFonts w:cs="Arial"/>
          <w:color w:val="auto"/>
        </w:rPr>
        <w:t xml:space="preserve">: </w:t>
      </w:r>
      <w:proofErr w:type="spellStart"/>
      <w:r w:rsidR="0035455D">
        <w:rPr>
          <w:rFonts w:cs="Arial"/>
          <w:color w:val="auto"/>
        </w:rPr>
        <w:t>MRes</w:t>
      </w:r>
      <w:proofErr w:type="spellEnd"/>
      <w:r w:rsidR="0035455D">
        <w:rPr>
          <w:rFonts w:cs="Arial"/>
          <w:color w:val="auto"/>
        </w:rPr>
        <w:t>/PhD Anthropology</w:t>
      </w:r>
    </w:p>
    <w:p w:rsidR="00BF4F9B" w:rsidRPr="00A55B1D" w:rsidRDefault="00BF4F9B" w:rsidP="00BF4F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960"/>
        <w:gridCol w:w="4528"/>
      </w:tblGrid>
      <w:tr w:rsidR="00BF4F9B" w:rsidRPr="00AC001C">
        <w:tc>
          <w:tcPr>
            <w:tcW w:w="468" w:type="dxa"/>
            <w:shd w:val="pct10" w:color="auto" w:fill="auto"/>
          </w:tcPr>
          <w:p w:rsidR="00BF4F9B" w:rsidRPr="00AC001C" w:rsidRDefault="00BF4F9B" w:rsidP="00BF4F9B">
            <w:pPr>
              <w:rPr>
                <w:rFonts w:cs="Arial"/>
                <w:b/>
                <w:bCs/>
                <w:szCs w:val="20"/>
              </w:rPr>
            </w:pPr>
            <w:r w:rsidRPr="00AC001C">
              <w:rPr>
                <w:rFonts w:cs="Arial"/>
                <w:b/>
                <w:bCs/>
                <w:szCs w:val="20"/>
              </w:rPr>
              <w:t xml:space="preserve">1. </w:t>
            </w:r>
          </w:p>
        </w:tc>
        <w:tc>
          <w:tcPr>
            <w:tcW w:w="3960" w:type="dxa"/>
            <w:shd w:val="pct10" w:color="auto" w:fill="auto"/>
          </w:tcPr>
          <w:p w:rsidR="00BF4F9B" w:rsidRPr="00AC001C" w:rsidRDefault="00BF4F9B" w:rsidP="00BF4F9B">
            <w:pPr>
              <w:rPr>
                <w:rFonts w:cs="Arial"/>
                <w:b/>
                <w:bCs/>
                <w:szCs w:val="20"/>
              </w:rPr>
            </w:pPr>
            <w:r w:rsidRPr="00AC001C">
              <w:rPr>
                <w:rFonts w:cs="Arial"/>
                <w:b/>
                <w:bCs/>
                <w:szCs w:val="20"/>
              </w:rPr>
              <w:t>Awarding Body</w:t>
            </w:r>
          </w:p>
        </w:tc>
        <w:tc>
          <w:tcPr>
            <w:tcW w:w="4528" w:type="dxa"/>
          </w:tcPr>
          <w:p w:rsidR="00BF4F9B" w:rsidRPr="00D7261A" w:rsidRDefault="00BF4F9B" w:rsidP="00766681">
            <w:pPr>
              <w:rPr>
                <w:rFonts w:cs="Arial"/>
                <w:i/>
                <w:szCs w:val="20"/>
              </w:rPr>
            </w:pPr>
            <w:r w:rsidRPr="00AC001C">
              <w:rPr>
                <w:rFonts w:cs="Arial"/>
                <w:spacing w:val="-2"/>
                <w:szCs w:val="20"/>
              </w:rPr>
              <w:t xml:space="preserve">LSE </w:t>
            </w:r>
          </w:p>
        </w:tc>
      </w:tr>
      <w:tr w:rsidR="00BF4F9B" w:rsidRPr="00AC001C">
        <w:tc>
          <w:tcPr>
            <w:tcW w:w="468" w:type="dxa"/>
            <w:shd w:val="pct10" w:color="auto" w:fill="auto"/>
          </w:tcPr>
          <w:p w:rsidR="00BF4F9B" w:rsidRPr="00AC001C" w:rsidRDefault="00BF4F9B" w:rsidP="00BF4F9B">
            <w:pPr>
              <w:rPr>
                <w:rFonts w:cs="Arial"/>
                <w:b/>
                <w:bCs/>
                <w:szCs w:val="20"/>
              </w:rPr>
            </w:pPr>
            <w:r w:rsidRPr="00AC001C">
              <w:rPr>
                <w:rFonts w:cs="Arial"/>
                <w:b/>
                <w:bCs/>
                <w:szCs w:val="20"/>
              </w:rPr>
              <w:t xml:space="preserve">2. </w:t>
            </w:r>
          </w:p>
        </w:tc>
        <w:tc>
          <w:tcPr>
            <w:tcW w:w="3960" w:type="dxa"/>
            <w:shd w:val="pct10" w:color="auto" w:fill="auto"/>
          </w:tcPr>
          <w:p w:rsidR="00BF4F9B" w:rsidRPr="00AC001C" w:rsidRDefault="00BF4F9B" w:rsidP="00BF4F9B">
            <w:pPr>
              <w:rPr>
                <w:rFonts w:cs="Arial"/>
                <w:b/>
                <w:bCs/>
                <w:szCs w:val="20"/>
              </w:rPr>
            </w:pPr>
            <w:r w:rsidRPr="00AC001C">
              <w:rPr>
                <w:rFonts w:cs="Arial"/>
                <w:b/>
                <w:bCs/>
                <w:szCs w:val="20"/>
              </w:rPr>
              <w:t xml:space="preserve">Details of accreditation by a professional/statutory body, </w:t>
            </w:r>
            <w:r>
              <w:rPr>
                <w:rFonts w:cs="Arial"/>
                <w:b/>
                <w:bCs/>
                <w:szCs w:val="20"/>
              </w:rPr>
              <w:br/>
            </w:r>
            <w:r w:rsidRPr="00AC001C">
              <w:rPr>
                <w:rFonts w:cs="Arial"/>
                <w:b/>
                <w:bCs/>
                <w:szCs w:val="20"/>
              </w:rPr>
              <w:t xml:space="preserve">e.g. ESRC; BPS </w:t>
            </w:r>
            <w:proofErr w:type="spellStart"/>
            <w:r w:rsidRPr="00AC001C">
              <w:rPr>
                <w:rFonts w:cs="Arial"/>
                <w:b/>
                <w:bCs/>
                <w:szCs w:val="20"/>
              </w:rPr>
              <w:t>etc</w:t>
            </w:r>
            <w:proofErr w:type="spellEnd"/>
          </w:p>
        </w:tc>
        <w:tc>
          <w:tcPr>
            <w:tcW w:w="4528" w:type="dxa"/>
          </w:tcPr>
          <w:p w:rsidR="00BF4F9B" w:rsidRPr="00766681" w:rsidRDefault="00766681" w:rsidP="00BF4F9B">
            <w:pPr>
              <w:rPr>
                <w:rFonts w:cs="Arial"/>
              </w:rPr>
            </w:pPr>
            <w:r w:rsidRPr="00766681">
              <w:rPr>
                <w:rFonts w:cs="Arial"/>
              </w:rPr>
              <w:t>N/A</w:t>
            </w:r>
          </w:p>
        </w:tc>
      </w:tr>
      <w:tr w:rsidR="00BF4F9B" w:rsidRPr="00AC001C">
        <w:tc>
          <w:tcPr>
            <w:tcW w:w="468" w:type="dxa"/>
            <w:shd w:val="pct10" w:color="auto" w:fill="auto"/>
          </w:tcPr>
          <w:p w:rsidR="00BF4F9B" w:rsidRPr="00AC001C" w:rsidRDefault="00BF4F9B" w:rsidP="00BF4F9B">
            <w:pPr>
              <w:rPr>
                <w:rFonts w:cs="Arial"/>
                <w:b/>
                <w:bCs/>
                <w:szCs w:val="20"/>
              </w:rPr>
            </w:pPr>
            <w:r w:rsidRPr="00AC001C">
              <w:rPr>
                <w:rFonts w:cs="Arial"/>
                <w:b/>
                <w:bCs/>
                <w:szCs w:val="20"/>
              </w:rPr>
              <w:t xml:space="preserve">3. </w:t>
            </w:r>
          </w:p>
        </w:tc>
        <w:tc>
          <w:tcPr>
            <w:tcW w:w="3960" w:type="dxa"/>
            <w:shd w:val="pct10" w:color="auto" w:fill="auto"/>
          </w:tcPr>
          <w:p w:rsidR="00BF4F9B" w:rsidRPr="00AC001C" w:rsidRDefault="00BF4F9B" w:rsidP="00BF4F9B">
            <w:pPr>
              <w:rPr>
                <w:rFonts w:cs="Arial"/>
                <w:b/>
                <w:bCs/>
                <w:szCs w:val="20"/>
              </w:rPr>
            </w:pPr>
            <w:r w:rsidRPr="00AC001C">
              <w:rPr>
                <w:rFonts w:cs="Arial"/>
                <w:b/>
                <w:bCs/>
                <w:szCs w:val="20"/>
              </w:rPr>
              <w:t>Name of final award</w:t>
            </w:r>
          </w:p>
        </w:tc>
        <w:tc>
          <w:tcPr>
            <w:tcW w:w="4528" w:type="dxa"/>
          </w:tcPr>
          <w:p w:rsidR="00BF4F9B" w:rsidRPr="00766681" w:rsidRDefault="0035455D" w:rsidP="00BF4F9B">
            <w:pPr>
              <w:pStyle w:val="CommentText"/>
              <w:rPr>
                <w:rFonts w:cs="Arial"/>
                <w:lang w:val="en-GB"/>
              </w:rPr>
            </w:pPr>
            <w:proofErr w:type="spellStart"/>
            <w:r>
              <w:rPr>
                <w:rFonts w:cs="Arial"/>
                <w:lang w:val="en-GB"/>
              </w:rPr>
              <w:t>MRes</w:t>
            </w:r>
            <w:proofErr w:type="spellEnd"/>
            <w:r>
              <w:rPr>
                <w:rFonts w:cs="Arial"/>
                <w:lang w:val="en-GB"/>
              </w:rPr>
              <w:t>/</w:t>
            </w:r>
            <w:r w:rsidR="00BF4F9B" w:rsidRPr="00766681">
              <w:rPr>
                <w:rFonts w:cs="Arial"/>
                <w:lang w:val="en-GB"/>
              </w:rPr>
              <w:t>PhD</w:t>
            </w:r>
          </w:p>
        </w:tc>
      </w:tr>
      <w:tr w:rsidR="00BF4F9B" w:rsidRPr="00AC001C">
        <w:tc>
          <w:tcPr>
            <w:tcW w:w="468" w:type="dxa"/>
            <w:shd w:val="pct10" w:color="auto" w:fill="auto"/>
          </w:tcPr>
          <w:p w:rsidR="00BF4F9B" w:rsidRPr="00AC001C" w:rsidRDefault="00BF4F9B" w:rsidP="00BF4F9B">
            <w:pPr>
              <w:rPr>
                <w:rFonts w:cs="Arial"/>
                <w:b/>
                <w:bCs/>
                <w:szCs w:val="20"/>
              </w:rPr>
            </w:pPr>
            <w:r w:rsidRPr="00AC001C">
              <w:rPr>
                <w:rFonts w:cs="Arial"/>
                <w:b/>
                <w:bCs/>
                <w:szCs w:val="20"/>
              </w:rPr>
              <w:t xml:space="preserve">4. </w:t>
            </w:r>
          </w:p>
        </w:tc>
        <w:tc>
          <w:tcPr>
            <w:tcW w:w="3960" w:type="dxa"/>
            <w:shd w:val="pct10" w:color="auto" w:fill="auto"/>
          </w:tcPr>
          <w:p w:rsidR="00BF4F9B" w:rsidRPr="00AC001C" w:rsidRDefault="00BF4F9B" w:rsidP="00BF4F9B">
            <w:pPr>
              <w:rPr>
                <w:rFonts w:cs="Arial"/>
                <w:b/>
                <w:bCs/>
                <w:szCs w:val="20"/>
              </w:rPr>
            </w:pPr>
            <w:r w:rsidRPr="00AC001C">
              <w:rPr>
                <w:rFonts w:cs="Arial"/>
                <w:b/>
                <w:bCs/>
                <w:szCs w:val="20"/>
              </w:rPr>
              <w:t>Programme Title</w:t>
            </w:r>
          </w:p>
        </w:tc>
        <w:tc>
          <w:tcPr>
            <w:tcW w:w="4528" w:type="dxa"/>
          </w:tcPr>
          <w:p w:rsidR="00BF4F9B" w:rsidRPr="00766681" w:rsidRDefault="00BF4F9B" w:rsidP="00BF4F9B">
            <w:pPr>
              <w:rPr>
                <w:rFonts w:cs="Arial"/>
                <w:szCs w:val="20"/>
              </w:rPr>
            </w:pPr>
            <w:r w:rsidRPr="00766681">
              <w:rPr>
                <w:rFonts w:cs="Arial"/>
              </w:rPr>
              <w:t>Anthropology</w:t>
            </w:r>
          </w:p>
        </w:tc>
      </w:tr>
      <w:tr w:rsidR="00BF4F9B" w:rsidRPr="00AC001C">
        <w:tc>
          <w:tcPr>
            <w:tcW w:w="468" w:type="dxa"/>
            <w:shd w:val="pct10" w:color="auto" w:fill="auto"/>
          </w:tcPr>
          <w:p w:rsidR="00BF4F9B" w:rsidRPr="00AC001C" w:rsidRDefault="00BF4F9B" w:rsidP="00BF4F9B">
            <w:pPr>
              <w:rPr>
                <w:rFonts w:cs="Arial"/>
                <w:b/>
                <w:bCs/>
                <w:szCs w:val="20"/>
              </w:rPr>
            </w:pPr>
            <w:r w:rsidRPr="00AC001C">
              <w:rPr>
                <w:rFonts w:cs="Arial"/>
                <w:b/>
                <w:bCs/>
                <w:szCs w:val="20"/>
              </w:rPr>
              <w:t xml:space="preserve">5. </w:t>
            </w:r>
          </w:p>
        </w:tc>
        <w:tc>
          <w:tcPr>
            <w:tcW w:w="3960" w:type="dxa"/>
            <w:shd w:val="pct10" w:color="auto" w:fill="auto"/>
          </w:tcPr>
          <w:p w:rsidR="00BF4F9B" w:rsidRPr="00AC001C" w:rsidRDefault="00BF4F9B" w:rsidP="00BF4F9B">
            <w:pPr>
              <w:rPr>
                <w:rFonts w:cs="Arial"/>
                <w:b/>
                <w:bCs/>
                <w:szCs w:val="20"/>
              </w:rPr>
            </w:pPr>
            <w:r w:rsidRPr="00AC001C">
              <w:rPr>
                <w:rFonts w:cs="Arial"/>
                <w:b/>
                <w:bCs/>
                <w:szCs w:val="20"/>
              </w:rPr>
              <w:t>Duration of the course</w:t>
            </w:r>
          </w:p>
        </w:tc>
        <w:tc>
          <w:tcPr>
            <w:tcW w:w="4528" w:type="dxa"/>
          </w:tcPr>
          <w:p w:rsidR="00BF4F9B" w:rsidRPr="00766681" w:rsidRDefault="00BF4F9B" w:rsidP="00BF4F9B">
            <w:pPr>
              <w:rPr>
                <w:rFonts w:cs="Arial"/>
                <w:szCs w:val="20"/>
              </w:rPr>
            </w:pPr>
            <w:r w:rsidRPr="00766681">
              <w:rPr>
                <w:rFonts w:cs="Arial"/>
              </w:rPr>
              <w:t>1</w:t>
            </w:r>
            <w:r w:rsidR="0035455D">
              <w:rPr>
                <w:rFonts w:cs="Arial"/>
              </w:rPr>
              <w:t xml:space="preserve"> year (</w:t>
            </w:r>
            <w:proofErr w:type="spellStart"/>
            <w:r w:rsidR="0035455D">
              <w:rPr>
                <w:rFonts w:cs="Arial"/>
              </w:rPr>
              <w:t>MRes</w:t>
            </w:r>
            <w:proofErr w:type="spellEnd"/>
            <w:r w:rsidR="0035455D">
              <w:rPr>
                <w:rFonts w:cs="Arial"/>
              </w:rPr>
              <w:t xml:space="preserve">) </w:t>
            </w:r>
            <w:r w:rsidRPr="00766681">
              <w:rPr>
                <w:rFonts w:cs="Arial"/>
              </w:rPr>
              <w:t>+</w:t>
            </w:r>
            <w:r w:rsidR="0035455D">
              <w:rPr>
                <w:rFonts w:cs="Arial"/>
              </w:rPr>
              <w:t xml:space="preserve"> </w:t>
            </w:r>
            <w:r w:rsidRPr="00766681">
              <w:rPr>
                <w:rFonts w:cs="Arial"/>
              </w:rPr>
              <w:t>4</w:t>
            </w:r>
            <w:r w:rsidR="0035455D">
              <w:rPr>
                <w:rFonts w:cs="Arial"/>
              </w:rPr>
              <w:t xml:space="preserve"> years (PhD)</w:t>
            </w:r>
          </w:p>
        </w:tc>
      </w:tr>
      <w:tr w:rsidR="00BF4F9B" w:rsidRPr="00AC001C">
        <w:tc>
          <w:tcPr>
            <w:tcW w:w="468" w:type="dxa"/>
            <w:shd w:val="pct10" w:color="auto" w:fill="auto"/>
          </w:tcPr>
          <w:p w:rsidR="00BF4F9B" w:rsidRPr="00AC001C" w:rsidRDefault="00BF4F9B" w:rsidP="00BF4F9B">
            <w:pPr>
              <w:rPr>
                <w:rFonts w:cs="Arial"/>
                <w:b/>
                <w:bCs/>
                <w:szCs w:val="20"/>
              </w:rPr>
            </w:pPr>
            <w:r w:rsidRPr="00AC001C">
              <w:rPr>
                <w:rFonts w:cs="Arial"/>
                <w:b/>
                <w:bCs/>
                <w:szCs w:val="20"/>
              </w:rPr>
              <w:t xml:space="preserve">6. </w:t>
            </w:r>
          </w:p>
        </w:tc>
        <w:tc>
          <w:tcPr>
            <w:tcW w:w="3960" w:type="dxa"/>
            <w:shd w:val="pct10" w:color="auto" w:fill="auto"/>
          </w:tcPr>
          <w:p w:rsidR="00BF4F9B" w:rsidRPr="00AC001C" w:rsidRDefault="00BF4F9B" w:rsidP="00BF4F9B">
            <w:pPr>
              <w:rPr>
                <w:rFonts w:cs="Arial"/>
                <w:b/>
                <w:bCs/>
                <w:szCs w:val="20"/>
              </w:rPr>
            </w:pPr>
            <w:r w:rsidRPr="00AC001C">
              <w:rPr>
                <w:rFonts w:cs="Arial"/>
                <w:b/>
                <w:bCs/>
                <w:szCs w:val="20"/>
              </w:rPr>
              <w:t>Based in the Department/Institute:</w:t>
            </w:r>
          </w:p>
        </w:tc>
        <w:tc>
          <w:tcPr>
            <w:tcW w:w="4528" w:type="dxa"/>
          </w:tcPr>
          <w:p w:rsidR="00BF4F9B" w:rsidRPr="00766681" w:rsidRDefault="00BF4F9B" w:rsidP="00BF4F9B">
            <w:pPr>
              <w:rPr>
                <w:rFonts w:cs="Arial"/>
                <w:szCs w:val="20"/>
              </w:rPr>
            </w:pPr>
            <w:r w:rsidRPr="00766681">
              <w:rPr>
                <w:rFonts w:cs="Arial"/>
              </w:rPr>
              <w:t>Anthropology</w:t>
            </w:r>
          </w:p>
        </w:tc>
      </w:tr>
      <w:tr w:rsidR="00BF4F9B" w:rsidRPr="00AC001C">
        <w:tc>
          <w:tcPr>
            <w:tcW w:w="468" w:type="dxa"/>
            <w:shd w:val="pct10" w:color="auto" w:fill="auto"/>
          </w:tcPr>
          <w:p w:rsidR="00BF4F9B" w:rsidRPr="00AC001C" w:rsidRDefault="00BF4F9B" w:rsidP="00BF4F9B">
            <w:pPr>
              <w:rPr>
                <w:rFonts w:cs="Arial"/>
                <w:b/>
                <w:bCs/>
                <w:szCs w:val="20"/>
              </w:rPr>
            </w:pPr>
            <w:r w:rsidRPr="00AC001C">
              <w:rPr>
                <w:rFonts w:cs="Arial"/>
                <w:b/>
                <w:bCs/>
                <w:szCs w:val="20"/>
              </w:rPr>
              <w:t xml:space="preserve">7. </w:t>
            </w:r>
          </w:p>
        </w:tc>
        <w:tc>
          <w:tcPr>
            <w:tcW w:w="3960" w:type="dxa"/>
            <w:shd w:val="pct10" w:color="auto" w:fill="auto"/>
          </w:tcPr>
          <w:p w:rsidR="00BF4F9B" w:rsidRPr="00AC001C" w:rsidRDefault="00BF4F9B" w:rsidP="00BF4F9B">
            <w:pPr>
              <w:rPr>
                <w:rFonts w:cs="Arial"/>
                <w:b/>
                <w:bCs/>
                <w:szCs w:val="20"/>
              </w:rPr>
            </w:pPr>
            <w:r w:rsidRPr="00AC001C">
              <w:rPr>
                <w:rFonts w:cs="Arial"/>
                <w:b/>
                <w:bCs/>
                <w:szCs w:val="20"/>
              </w:rPr>
              <w:t>Relevant QAA subject benchmark statements</w:t>
            </w:r>
          </w:p>
        </w:tc>
        <w:tc>
          <w:tcPr>
            <w:tcW w:w="4528" w:type="dxa"/>
          </w:tcPr>
          <w:p w:rsidR="00BF4F9B" w:rsidRPr="00766681" w:rsidRDefault="00BF4F9B" w:rsidP="00BF4F9B">
            <w:pPr>
              <w:pStyle w:val="NormalWeb"/>
              <w:rPr>
                <w:rFonts w:ascii="Arial" w:hAnsi="Arial" w:cs="Arial"/>
                <w:sz w:val="20"/>
                <w:szCs w:val="20"/>
              </w:rPr>
            </w:pPr>
            <w:r w:rsidRPr="00766681">
              <w:rPr>
                <w:rFonts w:ascii="Arial" w:hAnsi="Arial" w:cs="Arial"/>
                <w:sz w:val="20"/>
                <w:szCs w:val="20"/>
              </w:rPr>
              <w:t>N/A</w:t>
            </w:r>
          </w:p>
        </w:tc>
      </w:tr>
      <w:tr w:rsidR="00BF4F9B" w:rsidRPr="00AC001C">
        <w:tc>
          <w:tcPr>
            <w:tcW w:w="468" w:type="dxa"/>
            <w:shd w:val="pct10" w:color="auto" w:fill="auto"/>
          </w:tcPr>
          <w:p w:rsidR="00BF4F9B" w:rsidRPr="00AC001C" w:rsidRDefault="00BF4F9B" w:rsidP="00BF4F9B">
            <w:pPr>
              <w:rPr>
                <w:rFonts w:cs="Arial"/>
                <w:b/>
                <w:bCs/>
                <w:szCs w:val="20"/>
              </w:rPr>
            </w:pPr>
            <w:r w:rsidRPr="00AC001C">
              <w:rPr>
                <w:rFonts w:cs="Arial"/>
                <w:b/>
                <w:bCs/>
                <w:szCs w:val="20"/>
              </w:rPr>
              <w:t xml:space="preserve">8. </w:t>
            </w:r>
          </w:p>
        </w:tc>
        <w:tc>
          <w:tcPr>
            <w:tcW w:w="3960" w:type="dxa"/>
            <w:shd w:val="pct10" w:color="auto" w:fill="auto"/>
          </w:tcPr>
          <w:p w:rsidR="00BF4F9B" w:rsidRPr="00AC001C" w:rsidRDefault="00BF4F9B" w:rsidP="00BF4F9B">
            <w:pPr>
              <w:rPr>
                <w:rFonts w:cs="Arial"/>
                <w:b/>
                <w:bCs/>
                <w:szCs w:val="20"/>
              </w:rPr>
            </w:pPr>
            <w:r w:rsidRPr="00AC001C">
              <w:rPr>
                <w:rFonts w:cs="Arial"/>
                <w:b/>
                <w:bCs/>
                <w:szCs w:val="20"/>
              </w:rPr>
              <w:t>UCAS Code</w:t>
            </w:r>
          </w:p>
        </w:tc>
        <w:tc>
          <w:tcPr>
            <w:tcW w:w="4528" w:type="dxa"/>
          </w:tcPr>
          <w:p w:rsidR="00BF4F9B" w:rsidRPr="0035455D" w:rsidRDefault="0035455D" w:rsidP="00BF4F9B">
            <w:pPr>
              <w:rPr>
                <w:rFonts w:cs="Arial"/>
                <w:szCs w:val="20"/>
              </w:rPr>
            </w:pPr>
            <w:r w:rsidRPr="0035455D">
              <w:rPr>
                <w:rFonts w:cs="Arial"/>
                <w:szCs w:val="20"/>
              </w:rPr>
              <w:t>L6ZB</w:t>
            </w:r>
          </w:p>
        </w:tc>
      </w:tr>
      <w:tr w:rsidR="00BF4F9B" w:rsidRPr="00AC001C">
        <w:tc>
          <w:tcPr>
            <w:tcW w:w="468" w:type="dxa"/>
            <w:shd w:val="pct10" w:color="auto" w:fill="auto"/>
          </w:tcPr>
          <w:p w:rsidR="00BF4F9B" w:rsidRPr="00AC001C" w:rsidRDefault="00BF4F9B" w:rsidP="00BF4F9B">
            <w:pPr>
              <w:rPr>
                <w:rFonts w:cs="Arial"/>
                <w:b/>
                <w:bCs/>
                <w:szCs w:val="20"/>
              </w:rPr>
            </w:pPr>
            <w:r w:rsidRPr="00AC001C">
              <w:rPr>
                <w:rFonts w:cs="Arial"/>
                <w:b/>
                <w:bCs/>
                <w:szCs w:val="20"/>
              </w:rPr>
              <w:t xml:space="preserve">9. </w:t>
            </w:r>
          </w:p>
        </w:tc>
        <w:tc>
          <w:tcPr>
            <w:tcW w:w="3960" w:type="dxa"/>
            <w:shd w:val="pct10" w:color="auto" w:fill="auto"/>
          </w:tcPr>
          <w:p w:rsidR="00BF4F9B" w:rsidRPr="00AC001C" w:rsidRDefault="00BF4F9B" w:rsidP="00BF4F9B">
            <w:pPr>
              <w:rPr>
                <w:rFonts w:cs="Arial"/>
                <w:b/>
                <w:bCs/>
                <w:szCs w:val="20"/>
              </w:rPr>
            </w:pPr>
            <w:r w:rsidRPr="00AC001C">
              <w:rPr>
                <w:rFonts w:cs="Arial"/>
                <w:b/>
                <w:bCs/>
                <w:szCs w:val="20"/>
              </w:rPr>
              <w:t>First written/last amended</w:t>
            </w:r>
          </w:p>
        </w:tc>
        <w:tc>
          <w:tcPr>
            <w:tcW w:w="4528" w:type="dxa"/>
          </w:tcPr>
          <w:p w:rsidR="00BF4F9B" w:rsidRPr="00766681" w:rsidRDefault="0035455D" w:rsidP="00BF4F9B">
            <w:pPr>
              <w:rPr>
                <w:rFonts w:cs="Arial"/>
                <w:szCs w:val="20"/>
              </w:rPr>
            </w:pPr>
            <w:r>
              <w:rPr>
                <w:rFonts w:cs="Arial"/>
                <w:szCs w:val="20"/>
              </w:rPr>
              <w:t>February</w:t>
            </w:r>
            <w:r w:rsidR="00766681">
              <w:rPr>
                <w:rFonts w:cs="Arial"/>
                <w:szCs w:val="20"/>
              </w:rPr>
              <w:t xml:space="preserve"> 2014</w:t>
            </w:r>
          </w:p>
        </w:tc>
      </w:tr>
    </w:tbl>
    <w:p w:rsidR="00BF4F9B" w:rsidRPr="00AC001C" w:rsidRDefault="00BF4F9B" w:rsidP="00BF4F9B">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BF4F9B" w:rsidRPr="00AC001C">
        <w:tc>
          <w:tcPr>
            <w:tcW w:w="495" w:type="dxa"/>
            <w:shd w:val="pct10" w:color="auto" w:fill="auto"/>
          </w:tcPr>
          <w:p w:rsidR="00BF4F9B" w:rsidRPr="00AC001C" w:rsidRDefault="00BF4F9B" w:rsidP="00BF4F9B">
            <w:pPr>
              <w:rPr>
                <w:rFonts w:cs="Arial"/>
                <w:b/>
                <w:bCs/>
                <w:szCs w:val="20"/>
              </w:rPr>
            </w:pPr>
            <w:r w:rsidRPr="00AC001C">
              <w:rPr>
                <w:rFonts w:cs="Arial"/>
                <w:b/>
                <w:bCs/>
                <w:szCs w:val="20"/>
              </w:rPr>
              <w:t xml:space="preserve">10. </w:t>
            </w:r>
          </w:p>
        </w:tc>
        <w:tc>
          <w:tcPr>
            <w:tcW w:w="8402" w:type="dxa"/>
            <w:shd w:val="pct10" w:color="auto" w:fill="auto"/>
          </w:tcPr>
          <w:p w:rsidR="00BF4F9B" w:rsidRPr="00AC001C" w:rsidRDefault="00BF4F9B" w:rsidP="00BF4F9B">
            <w:pPr>
              <w:rPr>
                <w:rFonts w:cs="Arial"/>
                <w:b/>
                <w:bCs/>
                <w:szCs w:val="20"/>
              </w:rPr>
            </w:pPr>
            <w:r w:rsidRPr="00AC001C">
              <w:rPr>
                <w:rFonts w:cs="Arial"/>
                <w:b/>
                <w:bCs/>
                <w:szCs w:val="20"/>
              </w:rPr>
              <w:t>The programme aims to:</w:t>
            </w:r>
          </w:p>
        </w:tc>
      </w:tr>
      <w:tr w:rsidR="00BF4F9B" w:rsidRPr="00AC001C">
        <w:tc>
          <w:tcPr>
            <w:tcW w:w="8897" w:type="dxa"/>
            <w:gridSpan w:val="2"/>
          </w:tcPr>
          <w:p w:rsidR="00BF4F9B" w:rsidRDefault="00BF4F9B" w:rsidP="00BF4F9B">
            <w:pPr>
              <w:tabs>
                <w:tab w:val="left" w:pos="-720"/>
                <w:tab w:val="left" w:pos="0"/>
              </w:tabs>
              <w:suppressAutoHyphens/>
              <w:rPr>
                <w:rFonts w:cs="Arial"/>
                <w:i/>
                <w:szCs w:val="20"/>
              </w:rPr>
            </w:pPr>
          </w:p>
          <w:p w:rsidR="00BF4F9B" w:rsidRDefault="00BF4F9B" w:rsidP="00BF4F9B">
            <w:pPr>
              <w:numPr>
                <w:ilvl w:val="0"/>
                <w:numId w:val="11"/>
              </w:numPr>
              <w:rPr>
                <w:rFonts w:cs="Arial"/>
                <w:b/>
                <w:bCs/>
              </w:rPr>
            </w:pPr>
            <w:r>
              <w:rPr>
                <w:rFonts w:cs="Arial"/>
              </w:rPr>
              <w:t>Prepare students for extended participant-observation fieldwork in the social anthropological tradition;</w:t>
            </w:r>
          </w:p>
          <w:p w:rsidR="00BF4F9B" w:rsidRDefault="00BF4F9B" w:rsidP="00BF4F9B">
            <w:pPr>
              <w:numPr>
                <w:ilvl w:val="0"/>
                <w:numId w:val="11"/>
              </w:numPr>
              <w:rPr>
                <w:rFonts w:cs="Arial"/>
                <w:b/>
                <w:bCs/>
              </w:rPr>
            </w:pPr>
            <w:r>
              <w:rPr>
                <w:rFonts w:cs="Arial"/>
              </w:rPr>
              <w:t>Ensure that students have the skills necessary for the critical analysis of material gathered in fieldwork settings;</w:t>
            </w:r>
          </w:p>
          <w:p w:rsidR="00BF4F9B" w:rsidRDefault="00BF4F9B" w:rsidP="00BF4F9B">
            <w:pPr>
              <w:numPr>
                <w:ilvl w:val="0"/>
                <w:numId w:val="11"/>
              </w:numPr>
              <w:rPr>
                <w:rFonts w:cs="Arial"/>
                <w:b/>
                <w:bCs/>
              </w:rPr>
            </w:pPr>
            <w:r>
              <w:rPr>
                <w:rFonts w:cs="Arial"/>
              </w:rPr>
              <w:t>Enhance students’ understanding of key themes in anthropology and cognate social sciences, especially as these relate to their own research topics;</w:t>
            </w:r>
          </w:p>
          <w:p w:rsidR="00BF4F9B" w:rsidRDefault="00BF4F9B" w:rsidP="00BF4F9B">
            <w:pPr>
              <w:numPr>
                <w:ilvl w:val="0"/>
                <w:numId w:val="11"/>
              </w:numPr>
              <w:rPr>
                <w:rFonts w:cs="Arial"/>
                <w:b/>
                <w:bCs/>
              </w:rPr>
            </w:pPr>
            <w:r>
              <w:rPr>
                <w:rFonts w:cs="Arial"/>
              </w:rPr>
              <w:t>Enable students to conduct a sustained piece of independent research work and to write a dissertation at the level required for the PhD;</w:t>
            </w:r>
          </w:p>
          <w:p w:rsidR="00BF4F9B" w:rsidRDefault="00BF4F9B" w:rsidP="00BF4F9B">
            <w:pPr>
              <w:numPr>
                <w:ilvl w:val="0"/>
                <w:numId w:val="11"/>
              </w:numPr>
              <w:rPr>
                <w:rFonts w:cs="Arial"/>
                <w:b/>
                <w:bCs/>
              </w:rPr>
            </w:pPr>
            <w:r>
              <w:rPr>
                <w:rFonts w:cs="Arial"/>
              </w:rPr>
              <w:t>Provide students with opportunities for professional development (e.g. through experience of teaching and through participation in academic activities including workshops and scholarly exchange programmes).</w:t>
            </w:r>
          </w:p>
          <w:p w:rsidR="00BF4F9B" w:rsidRPr="00AC001C" w:rsidRDefault="00BF4F9B" w:rsidP="00BF4F9B">
            <w:pPr>
              <w:tabs>
                <w:tab w:val="left" w:pos="-720"/>
                <w:tab w:val="left" w:pos="0"/>
              </w:tabs>
              <w:suppressAutoHyphens/>
              <w:rPr>
                <w:rFonts w:cs="Arial"/>
                <w:i/>
                <w:szCs w:val="20"/>
              </w:rPr>
            </w:pPr>
          </w:p>
        </w:tc>
      </w:tr>
    </w:tbl>
    <w:p w:rsidR="00BF4F9B" w:rsidRPr="00AC001C" w:rsidRDefault="00BF4F9B" w:rsidP="00BF4F9B">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BF4F9B" w:rsidRPr="00AC001C">
        <w:tc>
          <w:tcPr>
            <w:tcW w:w="495" w:type="dxa"/>
            <w:shd w:val="pct10" w:color="auto" w:fill="auto"/>
          </w:tcPr>
          <w:p w:rsidR="00BF4F9B" w:rsidRPr="00AC001C" w:rsidRDefault="00BF4F9B" w:rsidP="00BF4F9B">
            <w:pPr>
              <w:rPr>
                <w:rFonts w:cs="Arial"/>
                <w:b/>
                <w:bCs/>
                <w:szCs w:val="20"/>
              </w:rPr>
            </w:pPr>
            <w:r w:rsidRPr="00AC001C">
              <w:rPr>
                <w:rFonts w:cs="Arial"/>
                <w:b/>
                <w:bCs/>
                <w:szCs w:val="20"/>
              </w:rPr>
              <w:t xml:space="preserve">11. </w:t>
            </w:r>
          </w:p>
        </w:tc>
        <w:tc>
          <w:tcPr>
            <w:tcW w:w="8402" w:type="dxa"/>
            <w:shd w:val="pct10" w:color="auto" w:fill="auto"/>
          </w:tcPr>
          <w:p w:rsidR="00BF4F9B" w:rsidRPr="00AC001C" w:rsidRDefault="00BF4F9B" w:rsidP="00BF4F9B">
            <w:pPr>
              <w:rPr>
                <w:rFonts w:cs="Arial"/>
                <w:b/>
                <w:bCs/>
                <w:szCs w:val="20"/>
              </w:rPr>
            </w:pPr>
            <w:r w:rsidRPr="00AC001C">
              <w:rPr>
                <w:rFonts w:cs="Arial"/>
                <w:b/>
                <w:bCs/>
                <w:szCs w:val="20"/>
              </w:rPr>
              <w:t>Programme outcomes: knowledge and understanding; skills and other attributes</w:t>
            </w:r>
          </w:p>
        </w:tc>
      </w:tr>
      <w:tr w:rsidR="00BF4F9B" w:rsidRPr="00AC001C">
        <w:tc>
          <w:tcPr>
            <w:tcW w:w="8897" w:type="dxa"/>
            <w:gridSpan w:val="2"/>
          </w:tcPr>
          <w:p w:rsidR="00BF4F9B" w:rsidRDefault="00BF4F9B" w:rsidP="00BF4F9B">
            <w:pPr>
              <w:pStyle w:val="CommentText"/>
              <w:rPr>
                <w:rFonts w:cs="Arial"/>
                <w:b/>
                <w:lang w:val="en-GB"/>
              </w:rPr>
            </w:pPr>
          </w:p>
          <w:p w:rsidR="00BF4F9B" w:rsidRDefault="00BF4F9B" w:rsidP="00BF4F9B">
            <w:pPr>
              <w:pStyle w:val="BodyText"/>
              <w:jc w:val="left"/>
            </w:pPr>
            <w:r>
              <w:t>Students are expected to show that they have developed:</w:t>
            </w:r>
          </w:p>
          <w:p w:rsidR="00BF4F9B" w:rsidRDefault="00BF4F9B" w:rsidP="00BF4F9B">
            <w:pPr>
              <w:pStyle w:val="BodyText"/>
            </w:pPr>
          </w:p>
          <w:p w:rsidR="00BF4F9B" w:rsidRDefault="00BF4F9B" w:rsidP="00BF4F9B">
            <w:pPr>
              <w:numPr>
                <w:ilvl w:val="0"/>
                <w:numId w:val="12"/>
              </w:numPr>
              <w:rPr>
                <w:rFonts w:cs="Arial"/>
              </w:rPr>
            </w:pPr>
            <w:r>
              <w:rPr>
                <w:rFonts w:cs="Arial"/>
              </w:rPr>
              <w:t>A critical understanding of the main ethnographic, theoretical and methodological issues related to their research topic.</w:t>
            </w:r>
          </w:p>
          <w:p w:rsidR="00BF4F9B" w:rsidRDefault="00BF4F9B" w:rsidP="00BF4F9B">
            <w:pPr>
              <w:rPr>
                <w:rFonts w:cs="Arial"/>
              </w:rPr>
            </w:pPr>
          </w:p>
          <w:p w:rsidR="00BF4F9B" w:rsidRDefault="00BF4F9B" w:rsidP="00BF4F9B">
            <w:pPr>
              <w:numPr>
                <w:ilvl w:val="0"/>
                <w:numId w:val="12"/>
              </w:numPr>
              <w:rPr>
                <w:rFonts w:cs="Arial"/>
                <w:b/>
                <w:bCs/>
              </w:rPr>
            </w:pPr>
            <w:r>
              <w:rPr>
                <w:rFonts w:cs="Arial"/>
              </w:rPr>
              <w:t>An ability to contribute to advancing knowledge of their subject area.</w:t>
            </w:r>
          </w:p>
          <w:p w:rsidR="00BF4F9B" w:rsidRDefault="00BF4F9B" w:rsidP="00BF4F9B">
            <w:pPr>
              <w:rPr>
                <w:rFonts w:cs="Arial"/>
                <w:b/>
                <w:bCs/>
              </w:rPr>
            </w:pPr>
          </w:p>
          <w:p w:rsidR="00BF4F9B" w:rsidRDefault="00BF4F9B" w:rsidP="00BF4F9B">
            <w:pPr>
              <w:numPr>
                <w:ilvl w:val="0"/>
                <w:numId w:val="12"/>
              </w:numPr>
              <w:rPr>
                <w:rFonts w:cs="Arial"/>
                <w:b/>
                <w:bCs/>
              </w:rPr>
            </w:pPr>
            <w:r>
              <w:rPr>
                <w:rFonts w:cs="Arial"/>
              </w:rPr>
              <w:t>The ability to communicate complex ideas and information effectively in written and oral form.</w:t>
            </w:r>
          </w:p>
          <w:p w:rsidR="00BF4F9B" w:rsidRPr="00430FD9" w:rsidRDefault="00BF4F9B" w:rsidP="00BF4F9B">
            <w:pPr>
              <w:pStyle w:val="CommentText"/>
              <w:rPr>
                <w:rFonts w:cs="Arial"/>
                <w:i/>
                <w:lang w:val="en-GB"/>
              </w:rPr>
            </w:pPr>
          </w:p>
        </w:tc>
      </w:tr>
    </w:tbl>
    <w:p w:rsidR="00BF4F9B" w:rsidRPr="00AC001C" w:rsidRDefault="00BF4F9B" w:rsidP="00BF4F9B">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BF4F9B" w:rsidRPr="00AC001C">
        <w:tc>
          <w:tcPr>
            <w:tcW w:w="495" w:type="dxa"/>
            <w:shd w:val="pct10" w:color="auto" w:fill="auto"/>
          </w:tcPr>
          <w:p w:rsidR="00BF4F9B" w:rsidRPr="00AC001C" w:rsidRDefault="00BF4F9B" w:rsidP="00BF4F9B">
            <w:pPr>
              <w:rPr>
                <w:rFonts w:cs="Arial"/>
                <w:b/>
                <w:bCs/>
                <w:szCs w:val="20"/>
              </w:rPr>
            </w:pPr>
            <w:r w:rsidRPr="00AC001C">
              <w:rPr>
                <w:rFonts w:cs="Arial"/>
                <w:b/>
                <w:bCs/>
                <w:szCs w:val="20"/>
              </w:rPr>
              <w:t xml:space="preserve">12. </w:t>
            </w:r>
          </w:p>
        </w:tc>
        <w:tc>
          <w:tcPr>
            <w:tcW w:w="8402" w:type="dxa"/>
            <w:shd w:val="pct10" w:color="auto" w:fill="auto"/>
          </w:tcPr>
          <w:p w:rsidR="00BF4F9B" w:rsidRPr="00AC001C" w:rsidRDefault="00BF4F9B" w:rsidP="00BF4F9B">
            <w:pPr>
              <w:rPr>
                <w:rFonts w:cs="Arial"/>
                <w:b/>
                <w:bCs/>
                <w:szCs w:val="20"/>
              </w:rPr>
            </w:pPr>
            <w:r w:rsidRPr="00AC001C">
              <w:rPr>
                <w:rFonts w:cs="Arial"/>
                <w:b/>
                <w:bCs/>
                <w:szCs w:val="20"/>
              </w:rPr>
              <w:t>Teaching, learning and assessment strategies to enable outcomes to be achieved and demonstrated</w:t>
            </w:r>
          </w:p>
        </w:tc>
      </w:tr>
      <w:tr w:rsidR="00BF4F9B" w:rsidRPr="00AC001C">
        <w:tc>
          <w:tcPr>
            <w:tcW w:w="8897" w:type="dxa"/>
            <w:gridSpan w:val="2"/>
          </w:tcPr>
          <w:p w:rsidR="00BF4F9B" w:rsidRDefault="00BF4F9B" w:rsidP="00BF4F9B">
            <w:pPr>
              <w:rPr>
                <w:rFonts w:cs="Arial"/>
                <w:b/>
                <w:bCs/>
                <w:iCs/>
                <w:spacing w:val="-2"/>
                <w:szCs w:val="20"/>
              </w:rPr>
            </w:pPr>
          </w:p>
          <w:p w:rsidR="00BF4F9B" w:rsidRDefault="00BF4F9B" w:rsidP="00BF4F9B">
            <w:pPr>
              <w:pStyle w:val="BodyText"/>
              <w:jc w:val="left"/>
            </w:pPr>
            <w:r>
              <w:t>The PhD is primarily a programme of independent research, however very significant support for this is provided via the following teaching strategies:</w:t>
            </w:r>
          </w:p>
          <w:p w:rsidR="00BF4F9B" w:rsidRDefault="00BF4F9B" w:rsidP="00BF4F9B">
            <w:pPr>
              <w:rPr>
                <w:rFonts w:cs="Arial"/>
              </w:rPr>
            </w:pPr>
          </w:p>
          <w:p w:rsidR="00BF4F9B" w:rsidRDefault="00BF4F9B" w:rsidP="00BF4F9B">
            <w:pPr>
              <w:numPr>
                <w:ilvl w:val="0"/>
                <w:numId w:val="13"/>
              </w:numPr>
              <w:rPr>
                <w:rFonts w:cs="Arial"/>
              </w:rPr>
            </w:pPr>
            <w:r>
              <w:rPr>
                <w:rFonts w:cs="Arial"/>
              </w:rPr>
              <w:t>Through an extensive pre-fieldwork training programme.</w:t>
            </w:r>
          </w:p>
          <w:p w:rsidR="00BF4F9B" w:rsidRDefault="00BF4F9B" w:rsidP="00BF4F9B">
            <w:pPr>
              <w:ind w:left="360"/>
              <w:rPr>
                <w:rFonts w:cs="Arial"/>
              </w:rPr>
            </w:pPr>
          </w:p>
          <w:p w:rsidR="00BF4F9B" w:rsidRDefault="00BF4F9B" w:rsidP="00BF4F9B">
            <w:pPr>
              <w:numPr>
                <w:ilvl w:val="0"/>
                <w:numId w:val="13"/>
              </w:numPr>
              <w:rPr>
                <w:rFonts w:cs="Arial"/>
              </w:rPr>
            </w:pPr>
            <w:r>
              <w:rPr>
                <w:rFonts w:cs="Arial"/>
              </w:rPr>
              <w:t>Through extensive interaction throughout the PhD between students and supervisors who are normally specialists in the area of their students’ research.</w:t>
            </w:r>
          </w:p>
          <w:p w:rsidR="00BF4F9B" w:rsidRDefault="00BF4F9B" w:rsidP="00BF4F9B">
            <w:pPr>
              <w:rPr>
                <w:rFonts w:cs="Arial"/>
              </w:rPr>
            </w:pPr>
          </w:p>
          <w:p w:rsidR="00BF4F9B" w:rsidRPr="00CA2822" w:rsidRDefault="00BF4F9B" w:rsidP="00BF4F9B">
            <w:pPr>
              <w:numPr>
                <w:ilvl w:val="0"/>
                <w:numId w:val="13"/>
              </w:numPr>
              <w:rPr>
                <w:rFonts w:cs="Arial"/>
              </w:rPr>
            </w:pPr>
            <w:r>
              <w:rPr>
                <w:rFonts w:cs="Arial"/>
              </w:rPr>
              <w:t xml:space="preserve">Through seminars and lecture courses which help develop students’ understanding of </w:t>
            </w:r>
            <w:r w:rsidRPr="00CA2822">
              <w:rPr>
                <w:rFonts w:cs="Arial"/>
              </w:rPr>
              <w:t>the main themes and debates in contemporary anthropology.</w:t>
            </w:r>
          </w:p>
          <w:p w:rsidR="00BF4F9B" w:rsidRDefault="00BF4F9B" w:rsidP="00BF4F9B">
            <w:pPr>
              <w:rPr>
                <w:rFonts w:cs="Arial"/>
              </w:rPr>
            </w:pPr>
          </w:p>
          <w:p w:rsidR="00BF4F9B" w:rsidRDefault="00BF4F9B" w:rsidP="00BF4F9B">
            <w:pPr>
              <w:rPr>
                <w:rFonts w:cs="Arial"/>
              </w:rPr>
            </w:pPr>
            <w:r>
              <w:rPr>
                <w:rFonts w:cs="Arial"/>
              </w:rPr>
              <w:t>Student work in the MPhil/PhD is assessed via the following strategies:</w:t>
            </w:r>
          </w:p>
          <w:p w:rsidR="00BF4F9B" w:rsidRDefault="00BF4F9B" w:rsidP="00BF4F9B">
            <w:pPr>
              <w:rPr>
                <w:rFonts w:cs="Arial"/>
              </w:rPr>
            </w:pPr>
          </w:p>
          <w:p w:rsidR="008C6B46" w:rsidRDefault="00BF4F9B" w:rsidP="00B72351">
            <w:pPr>
              <w:ind w:left="720"/>
              <w:rPr>
                <w:rFonts w:cs="Arial"/>
              </w:rPr>
            </w:pPr>
            <w:r>
              <w:rPr>
                <w:rFonts w:cs="Arial"/>
              </w:rPr>
              <w:t xml:space="preserve">1. Through normal coursework assessment (including examinations, essays, oral presentations, etc.) during the pre-fieldwork phase of the programme, and in particular </w:t>
            </w:r>
          </w:p>
          <w:p w:rsidR="008C6B46" w:rsidRDefault="008C6B46" w:rsidP="00B72351">
            <w:pPr>
              <w:ind w:left="720"/>
              <w:rPr>
                <w:rFonts w:cs="Arial"/>
              </w:rPr>
            </w:pPr>
          </w:p>
          <w:p w:rsidR="008C6B46" w:rsidRDefault="008C6B46" w:rsidP="00B72351">
            <w:pPr>
              <w:ind w:left="720"/>
              <w:rPr>
                <w:rFonts w:cs="Arial"/>
              </w:rPr>
            </w:pPr>
          </w:p>
          <w:p w:rsidR="00BF4F9B" w:rsidRDefault="00BF4F9B" w:rsidP="00B72351">
            <w:pPr>
              <w:ind w:left="720"/>
              <w:rPr>
                <w:rFonts w:cs="Arial"/>
              </w:rPr>
            </w:pPr>
            <w:proofErr w:type="gramStart"/>
            <w:r>
              <w:rPr>
                <w:rFonts w:cs="Arial"/>
              </w:rPr>
              <w:t>through</w:t>
            </w:r>
            <w:proofErr w:type="gramEnd"/>
            <w:r>
              <w:rPr>
                <w:rFonts w:cs="Arial"/>
              </w:rPr>
              <w:t xml:space="preserve"> examination of the research proposal, including a viva, at the end of the pre-fieldwork year. </w:t>
            </w:r>
          </w:p>
          <w:p w:rsidR="00BF4F9B" w:rsidRDefault="00BF4F9B" w:rsidP="00BF4F9B">
            <w:pPr>
              <w:ind w:left="720"/>
              <w:rPr>
                <w:rFonts w:cs="Arial"/>
              </w:rPr>
            </w:pPr>
          </w:p>
          <w:p w:rsidR="00BF4F9B" w:rsidRDefault="00BF4F9B" w:rsidP="00BF4F9B">
            <w:pPr>
              <w:ind w:left="720"/>
              <w:rPr>
                <w:rFonts w:cs="Arial"/>
              </w:rPr>
            </w:pPr>
            <w:r>
              <w:rPr>
                <w:rFonts w:cs="Arial"/>
              </w:rPr>
              <w:t xml:space="preserve">2. Through the formal review and viva which is held three terms after students return from fieldwork. </w:t>
            </w:r>
          </w:p>
          <w:p w:rsidR="00BF4F9B" w:rsidRDefault="00BF4F9B" w:rsidP="00BF4F9B">
            <w:pPr>
              <w:ind w:left="720"/>
              <w:rPr>
                <w:rFonts w:cs="Arial"/>
              </w:rPr>
            </w:pPr>
          </w:p>
          <w:p w:rsidR="00BF4F9B" w:rsidRPr="001764E2" w:rsidRDefault="00BF4F9B" w:rsidP="00BF4F9B">
            <w:pPr>
              <w:ind w:left="720"/>
              <w:rPr>
                <w:rFonts w:cs="Arial"/>
              </w:rPr>
            </w:pPr>
            <w:r>
              <w:rPr>
                <w:rFonts w:cs="Arial"/>
              </w:rPr>
              <w:t xml:space="preserve">3. At the end of the PhD through the formal examination and viva for the PhD dissertation. </w:t>
            </w:r>
          </w:p>
          <w:p w:rsidR="00BF4F9B" w:rsidRPr="00430FD9" w:rsidRDefault="00BF4F9B" w:rsidP="00BF4F9B">
            <w:pPr>
              <w:rPr>
                <w:rFonts w:cs="Arial"/>
                <w:i/>
                <w:szCs w:val="20"/>
              </w:rPr>
            </w:pPr>
          </w:p>
        </w:tc>
      </w:tr>
    </w:tbl>
    <w:p w:rsidR="00BF4F9B" w:rsidRPr="00AC001C" w:rsidRDefault="00BF4F9B" w:rsidP="00BF4F9B">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BF4F9B" w:rsidRPr="00AC001C">
        <w:tc>
          <w:tcPr>
            <w:tcW w:w="495" w:type="dxa"/>
            <w:shd w:val="pct10" w:color="auto" w:fill="auto"/>
          </w:tcPr>
          <w:p w:rsidR="00BF4F9B" w:rsidRPr="00AC001C" w:rsidRDefault="00BF4F9B" w:rsidP="00BF4F9B">
            <w:pPr>
              <w:rPr>
                <w:rFonts w:cs="Arial"/>
                <w:b/>
                <w:bCs/>
                <w:szCs w:val="20"/>
              </w:rPr>
            </w:pPr>
            <w:r w:rsidRPr="00AC001C">
              <w:rPr>
                <w:rFonts w:cs="Arial"/>
                <w:b/>
                <w:bCs/>
                <w:szCs w:val="20"/>
              </w:rPr>
              <w:t xml:space="preserve">13. </w:t>
            </w:r>
          </w:p>
        </w:tc>
        <w:tc>
          <w:tcPr>
            <w:tcW w:w="8402" w:type="dxa"/>
            <w:shd w:val="pct10" w:color="auto" w:fill="auto"/>
          </w:tcPr>
          <w:p w:rsidR="00BF4F9B" w:rsidRPr="00AC001C" w:rsidRDefault="00BF4F9B" w:rsidP="00BF4F9B">
            <w:pPr>
              <w:rPr>
                <w:rFonts w:cs="Arial"/>
                <w:b/>
                <w:bCs/>
                <w:szCs w:val="20"/>
              </w:rPr>
            </w:pPr>
            <w:r w:rsidRPr="00AC001C">
              <w:rPr>
                <w:rFonts w:cs="Arial"/>
                <w:b/>
                <w:bCs/>
                <w:szCs w:val="20"/>
              </w:rPr>
              <w:t>Programme structures and requirements, levels, modules and awards</w:t>
            </w:r>
          </w:p>
        </w:tc>
      </w:tr>
      <w:tr w:rsidR="00BF4F9B" w:rsidRPr="00AC001C">
        <w:tc>
          <w:tcPr>
            <w:tcW w:w="8897" w:type="dxa"/>
            <w:gridSpan w:val="2"/>
          </w:tcPr>
          <w:p w:rsidR="00BF4F9B" w:rsidRPr="0035455D" w:rsidRDefault="00816877" w:rsidP="0035455D">
            <w:pPr>
              <w:pStyle w:val="NormalWeb"/>
              <w:spacing w:before="120" w:beforeAutospacing="0" w:after="120" w:afterAutospacing="0"/>
              <w:rPr>
                <w:rFonts w:ascii="Arial" w:hAnsi="Arial" w:cs="Arial"/>
                <w:sz w:val="20"/>
                <w:szCs w:val="20"/>
              </w:rPr>
            </w:pPr>
            <w:hyperlink r:id="rId8" w:history="1">
              <w:proofErr w:type="spellStart"/>
              <w:r w:rsidR="0035455D" w:rsidRPr="0035455D">
                <w:rPr>
                  <w:rStyle w:val="Hyperlink"/>
                  <w:rFonts w:ascii="Arial" w:hAnsi="Arial" w:cs="Arial"/>
                  <w:sz w:val="20"/>
                  <w:szCs w:val="20"/>
                </w:rPr>
                <w:t>MRes</w:t>
              </w:r>
              <w:proofErr w:type="spellEnd"/>
              <w:r w:rsidR="0035455D" w:rsidRPr="0035455D">
                <w:rPr>
                  <w:rStyle w:val="Hyperlink"/>
                  <w:rFonts w:ascii="Arial" w:hAnsi="Arial" w:cs="Arial"/>
                  <w:sz w:val="20"/>
                  <w:szCs w:val="20"/>
                </w:rPr>
                <w:t>/PhD Anthropology</w:t>
              </w:r>
            </w:hyperlink>
          </w:p>
        </w:tc>
      </w:tr>
    </w:tbl>
    <w:p w:rsidR="00BF4F9B" w:rsidRPr="00AC001C" w:rsidRDefault="00BF4F9B" w:rsidP="00BF4F9B">
      <w:pPr>
        <w:rPr>
          <w:rFonts w:cs="Arial"/>
          <w:b/>
          <w:bCs/>
          <w:szCs w:val="20"/>
        </w:rPr>
      </w:pPr>
    </w:p>
    <w:p w:rsidR="00BF4F9B" w:rsidRPr="00AC001C" w:rsidRDefault="00BF4F9B" w:rsidP="00BF4F9B">
      <w:pPr>
        <w:rPr>
          <w:rFonts w:cs="Arial"/>
          <w:b/>
          <w:bCs/>
          <w:szCs w:val="20"/>
        </w:rPr>
      </w:pPr>
      <w:r w:rsidRPr="00AC001C">
        <w:rPr>
          <w:rFonts w:cs="Arial"/>
          <w:b/>
          <w:bCs/>
          <w:szCs w:val="20"/>
        </w:rPr>
        <w:t>Additional information</w:t>
      </w:r>
    </w:p>
    <w:p w:rsidR="00BF4F9B" w:rsidRPr="00AC001C" w:rsidRDefault="00BF4F9B" w:rsidP="00BF4F9B">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BF4F9B" w:rsidRPr="00AC001C">
        <w:tc>
          <w:tcPr>
            <w:tcW w:w="495" w:type="dxa"/>
            <w:shd w:val="pct10" w:color="auto" w:fill="auto"/>
          </w:tcPr>
          <w:p w:rsidR="00BF4F9B" w:rsidRPr="00AC001C" w:rsidRDefault="00BF4F9B" w:rsidP="00BF4F9B">
            <w:pPr>
              <w:rPr>
                <w:rFonts w:cs="Arial"/>
                <w:b/>
                <w:bCs/>
                <w:szCs w:val="20"/>
              </w:rPr>
            </w:pPr>
            <w:r w:rsidRPr="00AC001C">
              <w:rPr>
                <w:rFonts w:cs="Arial"/>
                <w:b/>
                <w:bCs/>
                <w:szCs w:val="20"/>
              </w:rPr>
              <w:t xml:space="preserve">14. </w:t>
            </w:r>
          </w:p>
        </w:tc>
        <w:tc>
          <w:tcPr>
            <w:tcW w:w="8402" w:type="dxa"/>
            <w:shd w:val="pct10" w:color="auto" w:fill="auto"/>
          </w:tcPr>
          <w:p w:rsidR="00BF4F9B" w:rsidRPr="00AC001C" w:rsidRDefault="00BF4F9B" w:rsidP="00BF4F9B">
            <w:pPr>
              <w:rPr>
                <w:rFonts w:cs="Arial"/>
                <w:b/>
                <w:bCs/>
                <w:szCs w:val="20"/>
              </w:rPr>
            </w:pPr>
            <w:r w:rsidRPr="00AC001C">
              <w:rPr>
                <w:rFonts w:cs="Arial"/>
                <w:b/>
                <w:bCs/>
                <w:szCs w:val="20"/>
              </w:rPr>
              <w:t>Criteria for admission to the programme</w:t>
            </w:r>
          </w:p>
        </w:tc>
      </w:tr>
      <w:tr w:rsidR="00BF4F9B" w:rsidRPr="00AC001C">
        <w:tc>
          <w:tcPr>
            <w:tcW w:w="8897" w:type="dxa"/>
            <w:gridSpan w:val="2"/>
          </w:tcPr>
          <w:p w:rsidR="00BF4F9B" w:rsidRDefault="00BF4F9B" w:rsidP="00BF4F9B">
            <w:pPr>
              <w:tabs>
                <w:tab w:val="left" w:pos="-720"/>
                <w:tab w:val="left" w:pos="0"/>
              </w:tabs>
              <w:suppressAutoHyphens/>
              <w:jc w:val="both"/>
              <w:rPr>
                <w:rFonts w:cs="Arial"/>
                <w:i/>
                <w:spacing w:val="-2"/>
                <w:szCs w:val="20"/>
              </w:rPr>
            </w:pPr>
          </w:p>
          <w:p w:rsidR="00BF4F9B" w:rsidRPr="00CA2822" w:rsidRDefault="00BF4F9B" w:rsidP="00BF4F9B">
            <w:pPr>
              <w:tabs>
                <w:tab w:val="left" w:pos="-720"/>
                <w:tab w:val="left" w:pos="0"/>
              </w:tabs>
              <w:suppressAutoHyphens/>
              <w:jc w:val="both"/>
              <w:rPr>
                <w:rFonts w:cs="Arial"/>
                <w:spacing w:val="-2"/>
                <w:szCs w:val="20"/>
              </w:rPr>
            </w:pPr>
            <w:r>
              <w:rPr>
                <w:rFonts w:cs="Arial"/>
                <w:spacing w:val="-2"/>
                <w:szCs w:val="20"/>
              </w:rPr>
              <w:t xml:space="preserve">To be admitted to the </w:t>
            </w:r>
            <w:proofErr w:type="spellStart"/>
            <w:r>
              <w:rPr>
                <w:rFonts w:cs="Arial"/>
                <w:spacing w:val="-2"/>
                <w:szCs w:val="20"/>
              </w:rPr>
              <w:t>MRes</w:t>
            </w:r>
            <w:proofErr w:type="spellEnd"/>
            <w:r>
              <w:rPr>
                <w:rFonts w:cs="Arial"/>
                <w:spacing w:val="-2"/>
                <w:szCs w:val="20"/>
              </w:rPr>
              <w:t xml:space="preserve">/PhD programme, students must meet the normal School requirements for PhD admissions </w:t>
            </w:r>
            <w:r>
              <w:rPr>
                <w:rFonts w:cs="Arial"/>
                <w:i/>
                <w:spacing w:val="-2"/>
                <w:szCs w:val="20"/>
              </w:rPr>
              <w:t>and</w:t>
            </w:r>
            <w:r>
              <w:rPr>
                <w:rFonts w:cs="Arial"/>
                <w:spacing w:val="-2"/>
                <w:szCs w:val="20"/>
              </w:rPr>
              <w:t xml:space="preserve"> must specifically hold a university-level degree in social anthropology from a UK university. In some cases, subject to the approval of the School, we are able to admit students who hold a BA/BSc in social anthropology from a UK university but no further qualification. </w:t>
            </w:r>
          </w:p>
          <w:p w:rsidR="00BF4F9B" w:rsidRPr="00401D76" w:rsidRDefault="00BF4F9B" w:rsidP="00BF4F9B">
            <w:pPr>
              <w:tabs>
                <w:tab w:val="left" w:pos="-720"/>
                <w:tab w:val="left" w:pos="0"/>
              </w:tabs>
              <w:suppressAutoHyphens/>
              <w:jc w:val="both"/>
              <w:rPr>
                <w:rFonts w:cs="Arial"/>
                <w:i/>
                <w:spacing w:val="-2"/>
                <w:szCs w:val="20"/>
              </w:rPr>
            </w:pPr>
          </w:p>
        </w:tc>
      </w:tr>
    </w:tbl>
    <w:p w:rsidR="00BF4F9B" w:rsidRPr="00AC001C" w:rsidRDefault="00BF4F9B" w:rsidP="00BF4F9B">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BF4F9B" w:rsidRPr="00AC001C">
        <w:tc>
          <w:tcPr>
            <w:tcW w:w="495" w:type="dxa"/>
            <w:shd w:val="pct10" w:color="auto" w:fill="auto"/>
          </w:tcPr>
          <w:p w:rsidR="00BF4F9B" w:rsidRPr="00AC001C" w:rsidRDefault="00BF4F9B" w:rsidP="00BF4F9B">
            <w:pPr>
              <w:rPr>
                <w:rFonts w:cs="Arial"/>
                <w:b/>
                <w:bCs/>
                <w:szCs w:val="20"/>
              </w:rPr>
            </w:pPr>
            <w:r w:rsidRPr="00AC001C">
              <w:rPr>
                <w:rFonts w:cs="Arial"/>
                <w:b/>
                <w:bCs/>
                <w:szCs w:val="20"/>
              </w:rPr>
              <w:t xml:space="preserve">15. </w:t>
            </w:r>
          </w:p>
        </w:tc>
        <w:tc>
          <w:tcPr>
            <w:tcW w:w="8402" w:type="dxa"/>
            <w:shd w:val="pct10" w:color="auto" w:fill="auto"/>
          </w:tcPr>
          <w:p w:rsidR="00BF4F9B" w:rsidRPr="00AC001C" w:rsidRDefault="00BF4F9B" w:rsidP="00BF4F9B">
            <w:pPr>
              <w:rPr>
                <w:rFonts w:cs="Arial"/>
                <w:b/>
                <w:bCs/>
                <w:szCs w:val="20"/>
              </w:rPr>
            </w:pPr>
            <w:r w:rsidRPr="00AC001C">
              <w:rPr>
                <w:rFonts w:cs="Arial"/>
                <w:b/>
                <w:bCs/>
                <w:szCs w:val="20"/>
              </w:rPr>
              <w:t>Indicators of quality</w:t>
            </w:r>
          </w:p>
        </w:tc>
      </w:tr>
      <w:tr w:rsidR="00BF4F9B" w:rsidRPr="00AC001C">
        <w:tc>
          <w:tcPr>
            <w:tcW w:w="8897" w:type="dxa"/>
            <w:gridSpan w:val="2"/>
          </w:tcPr>
          <w:p w:rsidR="0035455D" w:rsidRDefault="0035455D" w:rsidP="0035455D">
            <w:pPr>
              <w:ind w:left="720"/>
              <w:rPr>
                <w:rFonts w:cs="Arial"/>
              </w:rPr>
            </w:pPr>
          </w:p>
          <w:p w:rsidR="00BF4F9B" w:rsidRDefault="00BF4F9B" w:rsidP="00BF4F9B">
            <w:pPr>
              <w:numPr>
                <w:ilvl w:val="0"/>
                <w:numId w:val="14"/>
              </w:numPr>
              <w:rPr>
                <w:rFonts w:cs="Arial"/>
              </w:rPr>
            </w:pPr>
            <w:r>
              <w:rPr>
                <w:rFonts w:cs="Arial"/>
              </w:rPr>
              <w:t>The success of PhD Anthropology students in obtaining prestigious posts and fellowships at universities in the UK and overseas;</w:t>
            </w:r>
          </w:p>
          <w:p w:rsidR="00BF4F9B" w:rsidRDefault="00BF4F9B" w:rsidP="00BF4F9B">
            <w:pPr>
              <w:numPr>
                <w:ilvl w:val="0"/>
                <w:numId w:val="14"/>
              </w:numPr>
              <w:rPr>
                <w:rFonts w:cs="Arial"/>
              </w:rPr>
            </w:pPr>
            <w:r>
              <w:rPr>
                <w:rFonts w:cs="Arial"/>
              </w:rPr>
              <w:t>High quality of departmental research: the highest percentage of the maximum 4* rated submissions across the UK in the 2008 RAE and success in obtaining competitive research grants (e.g. from ESRC);</w:t>
            </w:r>
          </w:p>
          <w:p w:rsidR="00BF4F9B" w:rsidRDefault="00BF4F9B" w:rsidP="00BF4F9B">
            <w:pPr>
              <w:numPr>
                <w:ilvl w:val="0"/>
                <w:numId w:val="14"/>
              </w:numPr>
              <w:rPr>
                <w:rFonts w:cs="Arial"/>
              </w:rPr>
            </w:pPr>
            <w:r>
              <w:rPr>
                <w:rFonts w:cs="Arial"/>
              </w:rPr>
              <w:t>Authorship of key texts: members of the department – who supervise our PhD students – have published important texts in the areas which we teach and on which our students conduct research.</w:t>
            </w:r>
          </w:p>
          <w:p w:rsidR="00BF4F9B" w:rsidRPr="005E630E" w:rsidRDefault="00BF4F9B" w:rsidP="00BF4F9B">
            <w:pPr>
              <w:numPr>
                <w:ilvl w:val="0"/>
                <w:numId w:val="14"/>
              </w:numPr>
              <w:rPr>
                <w:rFonts w:cs="Arial"/>
                <w:szCs w:val="20"/>
              </w:rPr>
            </w:pPr>
            <w:r w:rsidRPr="005E630E">
              <w:rPr>
                <w:rFonts w:cs="Arial"/>
                <w:szCs w:val="20"/>
              </w:rPr>
              <w:t xml:space="preserve">The School participates in the Postgraduate Research Experience Survey (PRES) which provides indicators of student satisfaction with various aspects of their research degree programme. Results from this survey have </w:t>
            </w:r>
            <w:r>
              <w:rPr>
                <w:rFonts w:cs="Arial"/>
                <w:szCs w:val="20"/>
              </w:rPr>
              <w:t>been positive for the School;</w:t>
            </w:r>
          </w:p>
          <w:p w:rsidR="00BF4F9B" w:rsidRPr="005E630E" w:rsidRDefault="00BF4F9B" w:rsidP="00BF4F9B">
            <w:pPr>
              <w:numPr>
                <w:ilvl w:val="0"/>
                <w:numId w:val="14"/>
              </w:numPr>
              <w:rPr>
                <w:rFonts w:cs="Arial"/>
                <w:szCs w:val="20"/>
              </w:rPr>
            </w:pPr>
            <w:r>
              <w:rPr>
                <w:rFonts w:cs="Arial"/>
                <w:szCs w:val="20"/>
              </w:rPr>
              <w:t>E</w:t>
            </w:r>
            <w:r w:rsidRPr="005E630E">
              <w:rPr>
                <w:rFonts w:cs="Arial"/>
                <w:szCs w:val="20"/>
              </w:rPr>
              <w:t>xaminers’ reports from viva examinations are considered centrally within the Sc</w:t>
            </w:r>
            <w:r>
              <w:rPr>
                <w:rFonts w:cs="Arial"/>
                <w:szCs w:val="20"/>
              </w:rPr>
              <w:t>hool and provide indicators on </w:t>
            </w:r>
            <w:r w:rsidRPr="005E630E">
              <w:rPr>
                <w:rFonts w:cs="Arial"/>
                <w:szCs w:val="20"/>
              </w:rPr>
              <w:t>the quality of the research student experience and supervision quality</w:t>
            </w:r>
            <w:r>
              <w:t>;</w:t>
            </w:r>
          </w:p>
          <w:p w:rsidR="00BF4F9B" w:rsidRPr="00F70BE5" w:rsidRDefault="00BF4F9B" w:rsidP="00BF4F9B">
            <w:pPr>
              <w:numPr>
                <w:ilvl w:val="0"/>
                <w:numId w:val="14"/>
              </w:numPr>
              <w:rPr>
                <w:rFonts w:cs="Arial"/>
              </w:rPr>
            </w:pPr>
            <w:r w:rsidRPr="005E630E">
              <w:rPr>
                <w:rFonts w:cs="Arial"/>
                <w:szCs w:val="20"/>
              </w:rPr>
              <w:t xml:space="preserve">The LSE Careers Centre website provides data on career destinations of LSE research graduates: </w:t>
            </w:r>
            <w:r>
              <w:rPr>
                <w:rFonts w:cs="Arial"/>
                <w:szCs w:val="20"/>
              </w:rPr>
              <w:t xml:space="preserve">click </w:t>
            </w:r>
            <w:hyperlink r:id="rId9" w:history="1">
              <w:r w:rsidRPr="005E630E">
                <w:rPr>
                  <w:rStyle w:val="Hyperlink"/>
                  <w:rFonts w:cs="Arial"/>
                  <w:szCs w:val="20"/>
                </w:rPr>
                <w:t>here</w:t>
              </w:r>
            </w:hyperlink>
            <w:r>
              <w:rPr>
                <w:rFonts w:cs="Arial"/>
                <w:szCs w:val="20"/>
              </w:rPr>
              <w:t>;</w:t>
            </w:r>
          </w:p>
          <w:p w:rsidR="00BF4F9B" w:rsidRPr="00CA2822" w:rsidRDefault="00BF4F9B" w:rsidP="00BF4F9B">
            <w:pPr>
              <w:ind w:left="360"/>
              <w:rPr>
                <w:rFonts w:cs="Arial"/>
                <w:szCs w:val="20"/>
              </w:rPr>
            </w:pPr>
          </w:p>
        </w:tc>
      </w:tr>
    </w:tbl>
    <w:p w:rsidR="00BF4F9B" w:rsidRPr="00AC001C" w:rsidRDefault="00BF4F9B" w:rsidP="00BF4F9B">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BF4F9B" w:rsidRPr="00AC001C">
        <w:tc>
          <w:tcPr>
            <w:tcW w:w="495" w:type="dxa"/>
            <w:shd w:val="pct10" w:color="auto" w:fill="auto"/>
          </w:tcPr>
          <w:p w:rsidR="00BF4F9B" w:rsidRPr="00AC001C" w:rsidRDefault="00BF4F9B" w:rsidP="00BF4F9B">
            <w:pPr>
              <w:rPr>
                <w:rFonts w:cs="Arial"/>
                <w:b/>
                <w:bCs/>
                <w:szCs w:val="20"/>
              </w:rPr>
            </w:pPr>
            <w:r w:rsidRPr="00AC001C">
              <w:rPr>
                <w:rFonts w:cs="Arial"/>
                <w:b/>
                <w:bCs/>
                <w:szCs w:val="20"/>
              </w:rPr>
              <w:t xml:space="preserve">16. </w:t>
            </w:r>
          </w:p>
        </w:tc>
        <w:tc>
          <w:tcPr>
            <w:tcW w:w="8402" w:type="dxa"/>
            <w:shd w:val="pct10" w:color="auto" w:fill="auto"/>
          </w:tcPr>
          <w:p w:rsidR="00BF4F9B" w:rsidRPr="00AC001C" w:rsidRDefault="00BF4F9B" w:rsidP="00BF4F9B">
            <w:pPr>
              <w:rPr>
                <w:rFonts w:cs="Arial"/>
                <w:b/>
                <w:bCs/>
                <w:szCs w:val="20"/>
              </w:rPr>
            </w:pPr>
            <w:r w:rsidRPr="00AC001C">
              <w:rPr>
                <w:rFonts w:cs="Arial"/>
                <w:b/>
                <w:bCs/>
                <w:szCs w:val="20"/>
              </w:rPr>
              <w:t>Methods for evaluating and improving the quality and standard of teaching and learning</w:t>
            </w:r>
          </w:p>
        </w:tc>
      </w:tr>
      <w:tr w:rsidR="00BF4F9B" w:rsidRPr="00AC001C">
        <w:tc>
          <w:tcPr>
            <w:tcW w:w="8897" w:type="dxa"/>
            <w:gridSpan w:val="2"/>
          </w:tcPr>
          <w:p w:rsidR="00BF4F9B" w:rsidRDefault="00BF4F9B" w:rsidP="0035455D">
            <w:pPr>
              <w:pStyle w:val="BodyText"/>
              <w:jc w:val="left"/>
            </w:pPr>
            <w:r>
              <w:rPr>
                <w:rFonts w:cs="Arial"/>
                <w:i/>
                <w:szCs w:val="20"/>
              </w:rPr>
              <w:br/>
            </w:r>
            <w:r>
              <w:t>Ongoing changes to programme in response to feedback and new initiatives.</w:t>
            </w:r>
          </w:p>
          <w:p w:rsidR="00BF4F9B" w:rsidRDefault="00BF4F9B" w:rsidP="00BF4F9B">
            <w:pPr>
              <w:numPr>
                <w:ilvl w:val="0"/>
                <w:numId w:val="18"/>
              </w:numPr>
              <w:rPr>
                <w:rFonts w:cs="Arial"/>
              </w:rPr>
            </w:pPr>
            <w:r>
              <w:rPr>
                <w:rFonts w:cs="Arial"/>
              </w:rPr>
              <w:t>Participation in activities of LSE’s Teaching and Learning Centre.</w:t>
            </w:r>
          </w:p>
          <w:p w:rsidR="00BF4F9B" w:rsidRDefault="00BF4F9B" w:rsidP="00BF4F9B">
            <w:pPr>
              <w:numPr>
                <w:ilvl w:val="0"/>
                <w:numId w:val="18"/>
              </w:numPr>
              <w:rPr>
                <w:rFonts w:cs="Arial"/>
              </w:rPr>
            </w:pPr>
            <w:r>
              <w:rPr>
                <w:rFonts w:cs="Arial"/>
              </w:rPr>
              <w:t>Mentoring/review/promotion process includes an assessment of teaching.</w:t>
            </w:r>
          </w:p>
          <w:p w:rsidR="008C6B46" w:rsidRPr="008C6B46" w:rsidRDefault="00BF4F9B" w:rsidP="008C6B46">
            <w:pPr>
              <w:numPr>
                <w:ilvl w:val="0"/>
                <w:numId w:val="18"/>
              </w:numPr>
              <w:rPr>
                <w:rFonts w:cs="Arial"/>
                <w:szCs w:val="20"/>
              </w:rPr>
            </w:pPr>
            <w:r w:rsidRPr="008C6B46">
              <w:rPr>
                <w:rFonts w:cs="Arial"/>
                <w:szCs w:val="20"/>
              </w:rPr>
              <w:t xml:space="preserve">The Teaching and Learning Centre (TLC) runs the Postgraduate Research Experience Survey (PRES) and distributes results to departments.  Survey results are considered by the Department as well as by School Committees (the RDSC &amp; the ASC). Taught courses on the existing MPhil/PhD and proposed </w:t>
            </w:r>
            <w:proofErr w:type="spellStart"/>
            <w:r w:rsidRPr="008C6B46">
              <w:rPr>
                <w:rFonts w:cs="Arial"/>
                <w:szCs w:val="20"/>
              </w:rPr>
              <w:t>MRes</w:t>
            </w:r>
            <w:proofErr w:type="spellEnd"/>
            <w:r w:rsidRPr="008C6B46">
              <w:rPr>
                <w:rFonts w:cs="Arial"/>
                <w:szCs w:val="20"/>
              </w:rPr>
              <w:t xml:space="preserve">/PhD programmes are included in the School’s internal TQARO student satisfaction survey, where such courses are provided at the Masters’ level. </w:t>
            </w:r>
          </w:p>
          <w:p w:rsidR="00B72351" w:rsidRPr="0035455D" w:rsidRDefault="00BF4F9B" w:rsidP="0035455D">
            <w:pPr>
              <w:numPr>
                <w:ilvl w:val="0"/>
                <w:numId w:val="18"/>
              </w:numPr>
              <w:rPr>
                <w:rFonts w:cs="Arial"/>
                <w:szCs w:val="20"/>
              </w:rPr>
            </w:pPr>
            <w:r w:rsidRPr="00B72351">
              <w:rPr>
                <w:rFonts w:cs="Arial"/>
                <w:szCs w:val="20"/>
              </w:rPr>
              <w:t xml:space="preserve">The Department’s Teaching Sub-Committee periodically reviews all of its </w:t>
            </w:r>
            <w:r w:rsidRPr="0035455D">
              <w:rPr>
                <w:rFonts w:cs="Arial"/>
                <w:szCs w:val="20"/>
              </w:rPr>
              <w:t xml:space="preserve">programmes. </w:t>
            </w:r>
          </w:p>
          <w:p w:rsidR="00766681" w:rsidRDefault="00BF4F9B" w:rsidP="0035455D">
            <w:pPr>
              <w:numPr>
                <w:ilvl w:val="0"/>
                <w:numId w:val="18"/>
              </w:numPr>
              <w:rPr>
                <w:rFonts w:cs="Arial"/>
                <w:szCs w:val="20"/>
              </w:rPr>
            </w:pPr>
            <w:r w:rsidRPr="001774BC">
              <w:rPr>
                <w:rFonts w:cs="Arial"/>
                <w:szCs w:val="20"/>
              </w:rPr>
              <w:t>The Methodology Institute offers methodological training across all MPhil/PhD</w:t>
            </w:r>
            <w:r>
              <w:rPr>
                <w:rFonts w:cs="Arial"/>
                <w:szCs w:val="20"/>
              </w:rPr>
              <w:t xml:space="preserve"> and </w:t>
            </w:r>
            <w:proofErr w:type="spellStart"/>
            <w:r>
              <w:rPr>
                <w:rFonts w:cs="Arial"/>
                <w:szCs w:val="20"/>
              </w:rPr>
              <w:t>MRes</w:t>
            </w:r>
            <w:proofErr w:type="spellEnd"/>
            <w:r>
              <w:rPr>
                <w:rFonts w:cs="Arial"/>
                <w:szCs w:val="20"/>
              </w:rPr>
              <w:t>/PhD</w:t>
            </w:r>
            <w:r w:rsidRPr="001774BC">
              <w:rPr>
                <w:rFonts w:cs="Arial"/>
                <w:szCs w:val="20"/>
              </w:rPr>
              <w:t xml:space="preserve"> programme</w:t>
            </w:r>
            <w:r>
              <w:rPr>
                <w:rFonts w:cs="Arial"/>
                <w:szCs w:val="20"/>
              </w:rPr>
              <w:t>s</w:t>
            </w:r>
            <w:r w:rsidRPr="001774BC">
              <w:rPr>
                <w:rFonts w:cs="Arial"/>
                <w:szCs w:val="20"/>
              </w:rPr>
              <w:t xml:space="preserve"> and transferrable study skills training courses are offered by the TLC for all MPhil/PhD </w:t>
            </w:r>
            <w:r>
              <w:rPr>
                <w:rFonts w:cs="Arial"/>
                <w:szCs w:val="20"/>
              </w:rPr>
              <w:t xml:space="preserve">and </w:t>
            </w:r>
            <w:proofErr w:type="spellStart"/>
            <w:r>
              <w:rPr>
                <w:rFonts w:cs="Arial"/>
                <w:szCs w:val="20"/>
              </w:rPr>
              <w:t>MRes</w:t>
            </w:r>
            <w:proofErr w:type="spellEnd"/>
            <w:r>
              <w:rPr>
                <w:rFonts w:cs="Arial"/>
                <w:szCs w:val="20"/>
              </w:rPr>
              <w:t xml:space="preserve">/PhD </w:t>
            </w:r>
            <w:r w:rsidRPr="001774BC">
              <w:rPr>
                <w:rFonts w:cs="Arial"/>
                <w:szCs w:val="20"/>
              </w:rPr>
              <w:t>students: this central resource enhances the standard of teaching and learning for all research students across the Scho</w:t>
            </w:r>
            <w:r w:rsidR="0035455D">
              <w:rPr>
                <w:rFonts w:cs="Arial"/>
                <w:szCs w:val="20"/>
              </w:rPr>
              <w:t>ol.</w:t>
            </w:r>
          </w:p>
          <w:p w:rsidR="001964FD" w:rsidRDefault="001964FD" w:rsidP="001964FD">
            <w:pPr>
              <w:rPr>
                <w:rFonts w:cs="Arial"/>
                <w:szCs w:val="20"/>
              </w:rPr>
            </w:pPr>
          </w:p>
          <w:p w:rsidR="001964FD" w:rsidRDefault="001964FD" w:rsidP="001964FD">
            <w:pPr>
              <w:rPr>
                <w:rFonts w:cs="Arial"/>
                <w:szCs w:val="20"/>
              </w:rPr>
            </w:pPr>
            <w:r>
              <w:rPr>
                <w:rFonts w:cs="Arial"/>
                <w:szCs w:val="20"/>
              </w:rPr>
              <w:lastRenderedPageBreak/>
              <w:t>School level quality assurance processes include:</w:t>
            </w:r>
          </w:p>
          <w:p w:rsidR="001964FD" w:rsidRDefault="001964FD" w:rsidP="001964FD">
            <w:pPr>
              <w:numPr>
                <w:ilvl w:val="0"/>
                <w:numId w:val="21"/>
              </w:numPr>
              <w:rPr>
                <w:rFonts w:cs="Arial"/>
                <w:szCs w:val="20"/>
              </w:rPr>
            </w:pPr>
            <w:r>
              <w:rPr>
                <w:rFonts w:cs="Arial"/>
                <w:szCs w:val="20"/>
              </w:rPr>
              <w:t xml:space="preserve">a system of initial programme approval, with input from the providers of resource-based services (including the Library, IT Services and the Academic Planning and Resources Committee) and </w:t>
            </w:r>
            <w:r w:rsidR="00816877">
              <w:rPr>
                <w:rFonts w:cs="Arial"/>
                <w:szCs w:val="20"/>
              </w:rPr>
              <w:t>including an external assessor</w:t>
            </w:r>
            <w:r>
              <w:rPr>
                <w:rFonts w:cs="Arial"/>
                <w:szCs w:val="20"/>
              </w:rPr>
              <w:t>'s report</w:t>
            </w:r>
            <w:r w:rsidR="00816877">
              <w:rPr>
                <w:rFonts w:cs="Arial"/>
                <w:szCs w:val="20"/>
              </w:rPr>
              <w:t>, to be conducted by the School</w:t>
            </w:r>
            <w:r>
              <w:rPr>
                <w:rFonts w:cs="Arial"/>
                <w:szCs w:val="20"/>
              </w:rPr>
              <w:t>'s central academic bodies;</w:t>
            </w:r>
          </w:p>
          <w:p w:rsidR="001964FD" w:rsidRDefault="001964FD" w:rsidP="001964FD">
            <w:pPr>
              <w:numPr>
                <w:ilvl w:val="0"/>
                <w:numId w:val="21"/>
              </w:numPr>
              <w:rPr>
                <w:rFonts w:cs="Arial"/>
                <w:szCs w:val="20"/>
              </w:rPr>
            </w:pPr>
            <w:r>
              <w:rPr>
                <w:rFonts w:cs="Arial"/>
                <w:szCs w:val="20"/>
              </w:rPr>
              <w:t>a system of initial course approval, with input from the providers of resource-based servi</w:t>
            </w:r>
            <w:r w:rsidR="00816877">
              <w:rPr>
                <w:rFonts w:cs="Arial"/>
                <w:szCs w:val="20"/>
              </w:rPr>
              <w:t>ces and conducted by the School</w:t>
            </w:r>
            <w:r>
              <w:rPr>
                <w:rFonts w:cs="Arial"/>
                <w:szCs w:val="20"/>
              </w:rPr>
              <w:t>'s central academic bodies;</w:t>
            </w:r>
          </w:p>
          <w:p w:rsidR="001964FD" w:rsidRDefault="001964FD" w:rsidP="001964FD">
            <w:pPr>
              <w:numPr>
                <w:ilvl w:val="0"/>
                <w:numId w:val="21"/>
              </w:numPr>
              <w:rPr>
                <w:rFonts w:cs="Arial"/>
                <w:szCs w:val="20"/>
              </w:rPr>
            </w:pPr>
            <w:r>
              <w:rPr>
                <w:rFonts w:cs="Arial"/>
                <w:szCs w:val="20"/>
              </w:rPr>
              <w:t>a system of approval of major modifications to programmes and c</w:t>
            </w:r>
            <w:r w:rsidR="00816877">
              <w:rPr>
                <w:rFonts w:cs="Arial"/>
                <w:szCs w:val="20"/>
              </w:rPr>
              <w:t>ourses, conducted by the School</w:t>
            </w:r>
            <w:r>
              <w:rPr>
                <w:rFonts w:cs="Arial"/>
                <w:szCs w:val="20"/>
              </w:rPr>
              <w:t>'s central academic bodies;</w:t>
            </w:r>
          </w:p>
          <w:p w:rsidR="001964FD" w:rsidRDefault="001964FD" w:rsidP="001964FD">
            <w:pPr>
              <w:numPr>
                <w:ilvl w:val="0"/>
                <w:numId w:val="21"/>
              </w:numPr>
              <w:rPr>
                <w:rFonts w:cs="Arial"/>
                <w:szCs w:val="20"/>
              </w:rPr>
            </w:pPr>
            <w:r>
              <w:rPr>
                <w:rFonts w:cs="Arial"/>
                <w:szCs w:val="20"/>
              </w:rPr>
              <w:t>a system of central review of departmental taught provision every five years or so, informed by available evidence, including student views, the main purposes being to promote development, identify and disseminate good practice, and to flag any concerns over standards to departments, without adjudicating on them;</w:t>
            </w:r>
          </w:p>
          <w:p w:rsidR="001964FD" w:rsidRDefault="001964FD" w:rsidP="001964FD">
            <w:pPr>
              <w:numPr>
                <w:ilvl w:val="0"/>
                <w:numId w:val="21"/>
              </w:numPr>
              <w:rPr>
                <w:rFonts w:cs="Arial"/>
                <w:szCs w:val="20"/>
              </w:rPr>
            </w:pPr>
            <w:r>
              <w:rPr>
                <w:rFonts w:cs="Arial"/>
                <w:szCs w:val="20"/>
              </w:rPr>
              <w:t>a system of gaining student feedback on their teaching and learning experience in the School;</w:t>
            </w:r>
          </w:p>
          <w:p w:rsidR="001964FD" w:rsidRDefault="00816877" w:rsidP="001964FD">
            <w:pPr>
              <w:numPr>
                <w:ilvl w:val="0"/>
                <w:numId w:val="21"/>
              </w:numPr>
              <w:rPr>
                <w:rFonts w:cs="Arial"/>
                <w:szCs w:val="20"/>
              </w:rPr>
            </w:pPr>
            <w:r>
              <w:rPr>
                <w:rFonts w:cs="Arial"/>
                <w:szCs w:val="20"/>
              </w:rPr>
              <w:t>periodic review by the School</w:t>
            </w:r>
            <w:r w:rsidR="001964FD">
              <w:rPr>
                <w:rFonts w:cs="Arial"/>
                <w:szCs w:val="20"/>
              </w:rPr>
              <w:t>'s academic bodies of its internal Codes of Practice;</w:t>
            </w:r>
          </w:p>
          <w:p w:rsidR="001964FD" w:rsidRDefault="001964FD" w:rsidP="001964FD">
            <w:pPr>
              <w:numPr>
                <w:ilvl w:val="0"/>
                <w:numId w:val="21"/>
              </w:numPr>
              <w:rPr>
                <w:rFonts w:cs="Arial"/>
                <w:szCs w:val="20"/>
              </w:rPr>
            </w:pPr>
            <w:r>
              <w:rPr>
                <w:rFonts w:cs="Arial"/>
                <w:szCs w:val="20"/>
              </w:rPr>
              <w:t xml:space="preserve">due and appropriate consideration of national quality assurance </w:t>
            </w:r>
            <w:r w:rsidR="00816877">
              <w:rPr>
                <w:rFonts w:cs="Arial"/>
                <w:szCs w:val="20"/>
              </w:rPr>
              <w:t>requirements through the School</w:t>
            </w:r>
            <w:r>
              <w:rPr>
                <w:rFonts w:cs="Arial"/>
                <w:szCs w:val="20"/>
              </w:rPr>
              <w:t>'s committee structure; and</w:t>
            </w:r>
          </w:p>
          <w:p w:rsidR="001964FD" w:rsidRDefault="001964FD" w:rsidP="001964FD">
            <w:pPr>
              <w:numPr>
                <w:ilvl w:val="0"/>
                <w:numId w:val="21"/>
              </w:numPr>
              <w:rPr>
                <w:rFonts w:cs="Arial"/>
                <w:szCs w:val="20"/>
              </w:rPr>
            </w:pPr>
            <w:proofErr w:type="gramStart"/>
            <w:r>
              <w:rPr>
                <w:rFonts w:cs="Arial"/>
                <w:szCs w:val="20"/>
              </w:rPr>
              <w:t>departments</w:t>
            </w:r>
            <w:proofErr w:type="gramEnd"/>
            <w:r>
              <w:rPr>
                <w:rFonts w:cs="Arial"/>
                <w:szCs w:val="20"/>
              </w:rPr>
              <w:t xml:space="preserve"> have the following arrangements in place for assuring their quality and standards:</w:t>
            </w:r>
            <w:r>
              <w:rPr>
                <w:rFonts w:cs="Arial"/>
                <w:szCs w:val="20"/>
              </w:rPr>
              <w:br/>
              <w:t>8.1.  Staff-Student Liaison Committees for all students that meet regularly, with minutes of meetings produced and circulated to staff and students</w:t>
            </w:r>
            <w:proofErr w:type="gramStart"/>
            <w:r>
              <w:rPr>
                <w:rFonts w:cs="Arial"/>
                <w:szCs w:val="20"/>
              </w:rPr>
              <w:t>;</w:t>
            </w:r>
            <w:proofErr w:type="gramEnd"/>
            <w:r>
              <w:rPr>
                <w:rFonts w:cs="Arial"/>
                <w:szCs w:val="20"/>
              </w:rPr>
              <w:br/>
              <w:t>8.2.  Departmental Staff meetings that involve all staff, meet at least three times per academic year, and consider information from any other extant departmental committees. Minutes should be produced and circulated to staff</w:t>
            </w:r>
            <w:proofErr w:type="gramStart"/>
            <w:r>
              <w:rPr>
                <w:rFonts w:cs="Arial"/>
                <w:szCs w:val="20"/>
              </w:rPr>
              <w:t>;</w:t>
            </w:r>
            <w:proofErr w:type="gramEnd"/>
            <w:r>
              <w:rPr>
                <w:rFonts w:cs="Arial"/>
                <w:szCs w:val="20"/>
              </w:rPr>
              <w:br/>
              <w:t xml:space="preserve">8.3.  A Teaching Committee that involves appropriate departmental </w:t>
            </w:r>
            <w:proofErr w:type="gramStart"/>
            <w:r>
              <w:rPr>
                <w:rFonts w:cs="Arial"/>
                <w:szCs w:val="20"/>
              </w:rPr>
              <w:t>staff,</w:t>
            </w:r>
            <w:proofErr w:type="gramEnd"/>
            <w:r>
              <w:rPr>
                <w:rFonts w:cs="Arial"/>
                <w:szCs w:val="20"/>
              </w:rPr>
              <w:t xml:space="preserve"> meets regularly each academic session and considers all aspects of departmental learning and teaching, including new programme and course proposals. Minutes should be produced and circulated to members</w:t>
            </w:r>
            <w:proofErr w:type="gramStart"/>
            <w:r>
              <w:rPr>
                <w:rFonts w:cs="Arial"/>
                <w:szCs w:val="20"/>
              </w:rPr>
              <w:t>;</w:t>
            </w:r>
            <w:proofErr w:type="gramEnd"/>
            <w:r>
              <w:rPr>
                <w:rFonts w:cs="Arial"/>
                <w:szCs w:val="20"/>
              </w:rPr>
              <w:br/>
              <w:t>8.4.  A system for ensuring the effective participation</w:t>
            </w:r>
            <w:r w:rsidR="00816877">
              <w:rPr>
                <w:rFonts w:cs="Arial"/>
                <w:szCs w:val="20"/>
              </w:rPr>
              <w:t xml:space="preserve"> in the School</w:t>
            </w:r>
            <w:r>
              <w:rPr>
                <w:rFonts w:cs="Arial"/>
                <w:szCs w:val="20"/>
              </w:rPr>
              <w:t>'s annual programme monitoring exercise</w:t>
            </w:r>
            <w:proofErr w:type="gramStart"/>
            <w:r>
              <w:rPr>
                <w:rFonts w:cs="Arial"/>
                <w:szCs w:val="20"/>
              </w:rPr>
              <w:t>;</w:t>
            </w:r>
            <w:proofErr w:type="gramEnd"/>
            <w:r>
              <w:rPr>
                <w:rFonts w:cs="Arial"/>
                <w:szCs w:val="20"/>
              </w:rPr>
              <w:br/>
              <w:t>8.5.  A system for considering course and programme results annually, and revising taught provision as appropriate</w:t>
            </w:r>
            <w:proofErr w:type="gramStart"/>
            <w:r>
              <w:rPr>
                <w:rFonts w:cs="Arial"/>
                <w:szCs w:val="20"/>
              </w:rPr>
              <w:t>;</w:t>
            </w:r>
            <w:proofErr w:type="gramEnd"/>
            <w:r>
              <w:rPr>
                <w:rFonts w:cs="Arial"/>
                <w:szCs w:val="20"/>
              </w:rPr>
              <w:br/>
              <w:t>8.6.  A system for considering student survey course results annually, and revising taught provision as appropriate</w:t>
            </w:r>
            <w:proofErr w:type="gramStart"/>
            <w:r>
              <w:rPr>
                <w:rFonts w:cs="Arial"/>
                <w:szCs w:val="20"/>
              </w:rPr>
              <w:t>;</w:t>
            </w:r>
            <w:proofErr w:type="gramEnd"/>
            <w:r>
              <w:rPr>
                <w:rFonts w:cs="Arial"/>
                <w:szCs w:val="20"/>
              </w:rPr>
              <w:br/>
              <w:t>8.7.  A system for</w:t>
            </w:r>
            <w:r w:rsidR="00816877">
              <w:rPr>
                <w:rFonts w:cs="Arial"/>
                <w:szCs w:val="20"/>
              </w:rPr>
              <w:t xml:space="preserve"> considering external examiners’</w:t>
            </w:r>
            <w:r>
              <w:rPr>
                <w:rFonts w:cs="Arial"/>
                <w:szCs w:val="20"/>
              </w:rPr>
              <w:t xml:space="preserve"> reports, and acting on them, on an annual basis, with the School having an associated responsibility (a) to ensure that the system functions and (b) for any School-wide lessons on both good practice and areas of concern from the reports collectively.</w:t>
            </w:r>
          </w:p>
          <w:p w:rsidR="001964FD" w:rsidRPr="0035455D" w:rsidRDefault="001964FD" w:rsidP="001964FD">
            <w:pPr>
              <w:rPr>
                <w:rFonts w:cs="Arial"/>
                <w:szCs w:val="20"/>
              </w:rPr>
            </w:pPr>
          </w:p>
        </w:tc>
      </w:tr>
    </w:tbl>
    <w:p w:rsidR="00BF4F9B" w:rsidRDefault="00BF4F9B" w:rsidP="00BF4F9B">
      <w:pPr>
        <w:ind w:left="720" w:hanging="720"/>
      </w:pPr>
    </w:p>
    <w:sectPr w:rsidR="00BF4F9B" w:rsidSect="008C6B46">
      <w:footerReference w:type="even" r:id="rId10"/>
      <w:footerReference w:type="default" r:id="rId11"/>
      <w:pgSz w:w="11907" w:h="16840" w:code="9"/>
      <w:pgMar w:top="1079" w:right="1440" w:bottom="899" w:left="1440" w:header="397"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95C" w:rsidRDefault="00BB595C" w:rsidP="00BF4F9B">
      <w:r>
        <w:separator/>
      </w:r>
    </w:p>
  </w:endnote>
  <w:endnote w:type="continuationSeparator" w:id="0">
    <w:p w:rsidR="00BB595C" w:rsidRDefault="00BB595C" w:rsidP="00BF4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95C" w:rsidRDefault="00BB59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595C" w:rsidRDefault="00BB595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95C" w:rsidRDefault="00BB59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6877">
      <w:rPr>
        <w:rStyle w:val="PageNumber"/>
        <w:noProof/>
      </w:rPr>
      <w:t>1</w:t>
    </w:r>
    <w:r>
      <w:rPr>
        <w:rStyle w:val="PageNumber"/>
      </w:rPr>
      <w:fldChar w:fldCharType="end"/>
    </w:r>
  </w:p>
  <w:p w:rsidR="00BB595C" w:rsidRDefault="00BB595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95C" w:rsidRDefault="00BB595C" w:rsidP="00BF4F9B">
      <w:r>
        <w:separator/>
      </w:r>
    </w:p>
  </w:footnote>
  <w:footnote w:type="continuationSeparator" w:id="0">
    <w:p w:rsidR="00BB595C" w:rsidRDefault="00BB595C" w:rsidP="00BF4F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A023C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517385"/>
    <w:multiLevelType w:val="hybridMultilevel"/>
    <w:tmpl w:val="13A4E4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EA7A81"/>
    <w:multiLevelType w:val="hybridMultilevel"/>
    <w:tmpl w:val="C9728D7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CA06F1"/>
    <w:multiLevelType w:val="hybridMultilevel"/>
    <w:tmpl w:val="ECEA73B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3234AA"/>
    <w:multiLevelType w:val="hybridMultilevel"/>
    <w:tmpl w:val="25104A9A"/>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190706"/>
    <w:multiLevelType w:val="multilevel"/>
    <w:tmpl w:val="5E44ECCA"/>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AE4480B"/>
    <w:multiLevelType w:val="hybridMultilevel"/>
    <w:tmpl w:val="1F94B64C"/>
    <w:lvl w:ilvl="0" w:tplc="0010C322">
      <w:start w:val="1"/>
      <w:numFmt w:val="decimal"/>
      <w:lvlText w:val="%1."/>
      <w:lvlJc w:val="left"/>
      <w:pPr>
        <w:tabs>
          <w:tab w:val="num" w:pos="700"/>
        </w:tabs>
        <w:ind w:left="680" w:hanging="340"/>
      </w:pPr>
      <w:rPr>
        <w:rFonts w:hint="default"/>
        <w:b w:val="0"/>
        <w:i w:val="0"/>
        <w:color w:val="auto"/>
      </w:rPr>
    </w:lvl>
    <w:lvl w:ilvl="1" w:tplc="04090019" w:tentative="1">
      <w:start w:val="1"/>
      <w:numFmt w:val="lowerLetter"/>
      <w:lvlText w:val="%2."/>
      <w:lvlJc w:val="left"/>
      <w:pPr>
        <w:tabs>
          <w:tab w:val="num" w:pos="1780"/>
        </w:tabs>
        <w:ind w:left="1780" w:hanging="360"/>
      </w:pPr>
    </w:lvl>
    <w:lvl w:ilvl="2" w:tplc="0409001B" w:tentative="1">
      <w:start w:val="1"/>
      <w:numFmt w:val="lowerRoman"/>
      <w:lvlText w:val="%3."/>
      <w:lvlJc w:val="right"/>
      <w:pPr>
        <w:tabs>
          <w:tab w:val="num" w:pos="2500"/>
        </w:tabs>
        <w:ind w:left="2500" w:hanging="180"/>
      </w:pPr>
    </w:lvl>
    <w:lvl w:ilvl="3" w:tplc="0409000F" w:tentative="1">
      <w:start w:val="1"/>
      <w:numFmt w:val="decimal"/>
      <w:lvlText w:val="%4."/>
      <w:lvlJc w:val="left"/>
      <w:pPr>
        <w:tabs>
          <w:tab w:val="num" w:pos="3220"/>
        </w:tabs>
        <w:ind w:left="3220" w:hanging="360"/>
      </w:pPr>
    </w:lvl>
    <w:lvl w:ilvl="4" w:tplc="04090019" w:tentative="1">
      <w:start w:val="1"/>
      <w:numFmt w:val="lowerLetter"/>
      <w:lvlText w:val="%5."/>
      <w:lvlJc w:val="left"/>
      <w:pPr>
        <w:tabs>
          <w:tab w:val="num" w:pos="3940"/>
        </w:tabs>
        <w:ind w:left="3940" w:hanging="360"/>
      </w:pPr>
    </w:lvl>
    <w:lvl w:ilvl="5" w:tplc="0409001B" w:tentative="1">
      <w:start w:val="1"/>
      <w:numFmt w:val="lowerRoman"/>
      <w:lvlText w:val="%6."/>
      <w:lvlJc w:val="right"/>
      <w:pPr>
        <w:tabs>
          <w:tab w:val="num" w:pos="4660"/>
        </w:tabs>
        <w:ind w:left="4660" w:hanging="180"/>
      </w:pPr>
    </w:lvl>
    <w:lvl w:ilvl="6" w:tplc="0409000F" w:tentative="1">
      <w:start w:val="1"/>
      <w:numFmt w:val="decimal"/>
      <w:lvlText w:val="%7."/>
      <w:lvlJc w:val="left"/>
      <w:pPr>
        <w:tabs>
          <w:tab w:val="num" w:pos="5380"/>
        </w:tabs>
        <w:ind w:left="5380" w:hanging="360"/>
      </w:pPr>
    </w:lvl>
    <w:lvl w:ilvl="7" w:tplc="04090019" w:tentative="1">
      <w:start w:val="1"/>
      <w:numFmt w:val="lowerLetter"/>
      <w:lvlText w:val="%8."/>
      <w:lvlJc w:val="left"/>
      <w:pPr>
        <w:tabs>
          <w:tab w:val="num" w:pos="6100"/>
        </w:tabs>
        <w:ind w:left="6100" w:hanging="360"/>
      </w:pPr>
    </w:lvl>
    <w:lvl w:ilvl="8" w:tplc="0409001B" w:tentative="1">
      <w:start w:val="1"/>
      <w:numFmt w:val="lowerRoman"/>
      <w:lvlText w:val="%9."/>
      <w:lvlJc w:val="right"/>
      <w:pPr>
        <w:tabs>
          <w:tab w:val="num" w:pos="6820"/>
        </w:tabs>
        <w:ind w:left="6820" w:hanging="180"/>
      </w:pPr>
    </w:lvl>
  </w:abstractNum>
  <w:abstractNum w:abstractNumId="7">
    <w:nsid w:val="1EC060AB"/>
    <w:multiLevelType w:val="multilevel"/>
    <w:tmpl w:val="8DA2E49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41B6380"/>
    <w:multiLevelType w:val="hybridMultilevel"/>
    <w:tmpl w:val="FEBAE4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6825CFA"/>
    <w:multiLevelType w:val="multilevel"/>
    <w:tmpl w:val="5E44ECCA"/>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EB02699"/>
    <w:multiLevelType w:val="hybridMultilevel"/>
    <w:tmpl w:val="D93C8E7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417A286D"/>
    <w:multiLevelType w:val="multilevel"/>
    <w:tmpl w:val="180CE198"/>
    <w:lvl w:ilvl="0">
      <w:start w:val="1"/>
      <w:numFmt w:val="decimal"/>
      <w:lvlText w:val="%1"/>
      <w:lvlJc w:val="left"/>
      <w:pPr>
        <w:tabs>
          <w:tab w:val="num" w:pos="735"/>
        </w:tabs>
        <w:ind w:left="735" w:hanging="735"/>
      </w:pPr>
      <w:rPr>
        <w:rFonts w:hint="default"/>
      </w:rPr>
    </w:lvl>
    <w:lvl w:ilvl="1">
      <w:start w:val="6"/>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4FE7430"/>
    <w:multiLevelType w:val="multilevel"/>
    <w:tmpl w:val="28C6837A"/>
    <w:lvl w:ilvl="0">
      <w:start w:val="9"/>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33B4AAF"/>
    <w:multiLevelType w:val="hybridMultilevel"/>
    <w:tmpl w:val="84F41D28"/>
    <w:lvl w:ilvl="0" w:tplc="2BDE2AA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B5523A"/>
    <w:multiLevelType w:val="hybridMultilevel"/>
    <w:tmpl w:val="3F480A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F883051"/>
    <w:multiLevelType w:val="multilevel"/>
    <w:tmpl w:val="902EC7B6"/>
    <w:lvl w:ilvl="0">
      <w:start w:val="3"/>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1F54B06"/>
    <w:multiLevelType w:val="hybridMultilevel"/>
    <w:tmpl w:val="13DC65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43F1D41"/>
    <w:multiLevelType w:val="multilevel"/>
    <w:tmpl w:val="F366334E"/>
    <w:lvl w:ilvl="0">
      <w:start w:val="9"/>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DF9267F"/>
    <w:multiLevelType w:val="multilevel"/>
    <w:tmpl w:val="B5FADE50"/>
    <w:lvl w:ilvl="0">
      <w:start w:val="4"/>
      <w:numFmt w:val="decimal"/>
      <w:lvlText w:val="%1"/>
      <w:lvlJc w:val="left"/>
      <w:pPr>
        <w:tabs>
          <w:tab w:val="num" w:pos="675"/>
        </w:tabs>
        <w:ind w:left="675" w:hanging="675"/>
      </w:pPr>
      <w:rPr>
        <w:rFonts w:hint="default"/>
        <w:b w:val="0"/>
      </w:rPr>
    </w:lvl>
    <w:lvl w:ilvl="1">
      <w:start w:val="3"/>
      <w:numFmt w:val="decimal"/>
      <w:lvlText w:val="%1.%2"/>
      <w:lvlJc w:val="left"/>
      <w:pPr>
        <w:tabs>
          <w:tab w:val="num" w:pos="675"/>
        </w:tabs>
        <w:ind w:left="675" w:hanging="675"/>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9">
    <w:nsid w:val="6F2372D3"/>
    <w:multiLevelType w:val="multilevel"/>
    <w:tmpl w:val="401CE34E"/>
    <w:lvl w:ilvl="0">
      <w:start w:val="1"/>
      <w:numFmt w:val="decimal"/>
      <w:lvlText w:val="%1."/>
      <w:lvlJc w:val="left"/>
      <w:pPr>
        <w:ind w:left="360"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7882686C"/>
    <w:multiLevelType w:val="multilevel"/>
    <w:tmpl w:val="855CC3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15"/>
  </w:num>
  <w:num w:numId="3">
    <w:abstractNumId w:val="18"/>
  </w:num>
  <w:num w:numId="4">
    <w:abstractNumId w:val="12"/>
  </w:num>
  <w:num w:numId="5">
    <w:abstractNumId w:val="17"/>
  </w:num>
  <w:num w:numId="6">
    <w:abstractNumId w:val="9"/>
  </w:num>
  <w:num w:numId="7">
    <w:abstractNumId w:val="7"/>
  </w:num>
  <w:num w:numId="8">
    <w:abstractNumId w:val="5"/>
  </w:num>
  <w:num w:numId="9">
    <w:abstractNumId w:val="4"/>
  </w:num>
  <w:num w:numId="10">
    <w:abstractNumId w:val="0"/>
  </w:num>
  <w:num w:numId="11">
    <w:abstractNumId w:val="3"/>
  </w:num>
  <w:num w:numId="12">
    <w:abstractNumId w:val="6"/>
  </w:num>
  <w:num w:numId="13">
    <w:abstractNumId w:val="16"/>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3"/>
  </w:num>
  <w:num w:numId="17">
    <w:abstractNumId w:val="1"/>
  </w:num>
  <w:num w:numId="18">
    <w:abstractNumId w:val="14"/>
  </w:num>
  <w:num w:numId="19">
    <w:abstractNumId w:val="8"/>
  </w:num>
  <w:num w:numId="20">
    <w:abstractNumId w:val="1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0A6"/>
    <w:rsid w:val="00080B2F"/>
    <w:rsid w:val="001964FD"/>
    <w:rsid w:val="00265FEA"/>
    <w:rsid w:val="002C1B38"/>
    <w:rsid w:val="002F77AE"/>
    <w:rsid w:val="0035455D"/>
    <w:rsid w:val="00593078"/>
    <w:rsid w:val="0061666D"/>
    <w:rsid w:val="006A00A6"/>
    <w:rsid w:val="00727434"/>
    <w:rsid w:val="00766681"/>
    <w:rsid w:val="00785824"/>
    <w:rsid w:val="00816877"/>
    <w:rsid w:val="008C6B46"/>
    <w:rsid w:val="00992A22"/>
    <w:rsid w:val="00A12353"/>
    <w:rsid w:val="00AA417D"/>
    <w:rsid w:val="00B72351"/>
    <w:rsid w:val="00BA2BAA"/>
    <w:rsid w:val="00BB595C"/>
    <w:rsid w:val="00BC724A"/>
    <w:rsid w:val="00BE75F8"/>
    <w:rsid w:val="00BF4F9B"/>
    <w:rsid w:val="00CF4792"/>
    <w:rsid w:val="00F36F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eastAsia="en-US"/>
    </w:rPr>
  </w:style>
  <w:style w:type="paragraph" w:styleId="Heading1">
    <w:name w:val="heading 1"/>
    <w:basedOn w:val="Normal"/>
    <w:next w:val="Normal"/>
    <w:qFormat/>
    <w:pPr>
      <w:keepNext/>
      <w:outlineLvl w:val="0"/>
    </w:pPr>
    <w:rPr>
      <w:b/>
      <w:color w:val="000080"/>
      <w:szCs w:val="20"/>
    </w:rPr>
  </w:style>
  <w:style w:type="paragraph" w:styleId="Heading2">
    <w:name w:val="heading 2"/>
    <w:basedOn w:val="Normal"/>
    <w:next w:val="Normal"/>
    <w:qFormat/>
    <w:pPr>
      <w:keepNext/>
      <w:spacing w:before="240" w:after="60"/>
      <w:outlineLvl w:val="1"/>
    </w:pPr>
    <w:rPr>
      <w:rFonts w:cs="Arial"/>
      <w:b/>
      <w:bCs/>
      <w:iCs/>
      <w:szCs w:val="28"/>
    </w:rPr>
  </w:style>
  <w:style w:type="paragraph" w:styleId="Heading3">
    <w:name w:val="heading 3"/>
    <w:basedOn w:val="Normal"/>
    <w:next w:val="Normal"/>
    <w:qFormat/>
    <w:pPr>
      <w:keepNext/>
      <w:outlineLvl w:val="2"/>
    </w:pPr>
    <w:rPr>
      <w:b/>
      <w:szCs w:val="20"/>
    </w:rPr>
  </w:style>
  <w:style w:type="paragraph" w:styleId="Heading4">
    <w:name w:val="heading 4"/>
    <w:basedOn w:val="Normal"/>
    <w:next w:val="Normal"/>
    <w:qFormat/>
    <w:pPr>
      <w:keepNext/>
      <w:outlineLvl w:val="3"/>
    </w:pPr>
    <w:rPr>
      <w:b/>
      <w:i/>
      <w:szCs w:val="20"/>
    </w:rPr>
  </w:style>
  <w:style w:type="paragraph" w:styleId="Heading5">
    <w:name w:val="heading 5"/>
    <w:basedOn w:val="Normal"/>
    <w:next w:val="Normal"/>
    <w:qFormat/>
    <w:pPr>
      <w:keepNext/>
      <w:outlineLvl w:val="4"/>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basedOn w:val="Normal"/>
    <w:next w:val="Normal"/>
    <w:rPr>
      <w:b/>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lang w:val="x-none"/>
    </w:rPr>
  </w:style>
  <w:style w:type="paragraph" w:styleId="Title">
    <w:name w:val="Title"/>
    <w:basedOn w:val="Normal"/>
    <w:qFormat/>
    <w:pPr>
      <w:jc w:val="center"/>
    </w:pPr>
    <w:rPr>
      <w:rFonts w:ascii="Arial Narrow" w:hAnsi="Arial Narrow"/>
      <w:b/>
      <w:sz w:val="24"/>
      <w:szCs w:val="20"/>
    </w:rPr>
  </w:style>
  <w:style w:type="paragraph" w:styleId="Header">
    <w:name w:val="header"/>
    <w:basedOn w:val="Normal"/>
    <w:pPr>
      <w:tabs>
        <w:tab w:val="center" w:pos="4153"/>
        <w:tab w:val="right" w:pos="8306"/>
      </w:tabs>
    </w:pPr>
    <w:rPr>
      <w:rFonts w:ascii="Times New Roman" w:hAnsi="Times New Roman"/>
      <w:sz w:val="24"/>
      <w:szCs w:val="20"/>
    </w:rPr>
  </w:style>
  <w:style w:type="paragraph" w:styleId="Footer">
    <w:name w:val="footer"/>
    <w:basedOn w:val="Normal"/>
    <w:pPr>
      <w:tabs>
        <w:tab w:val="center" w:pos="4153"/>
        <w:tab w:val="right" w:pos="8306"/>
      </w:tabs>
    </w:pPr>
  </w:style>
  <w:style w:type="paragraph" w:styleId="BodyText">
    <w:name w:val="Body Text"/>
    <w:basedOn w:val="Normal"/>
    <w:pPr>
      <w:jc w:val="right"/>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rPr>
      <w:b/>
      <w:bCs/>
      <w:color w:val="000000"/>
    </w:rPr>
  </w:style>
  <w:style w:type="paragraph" w:styleId="BodyTextIndent">
    <w:name w:val="Body Text Indent"/>
    <w:basedOn w:val="Normal"/>
    <w:pPr>
      <w:ind w:left="720" w:hanging="720"/>
    </w:pPr>
    <w:rPr>
      <w:b/>
      <w:bCs/>
      <w:color w:val="00000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720" w:hanging="720"/>
    </w:pPr>
    <w:rPr>
      <w:b/>
      <w:bCs/>
      <w:iCs/>
      <w:color w:val="000000"/>
    </w:rPr>
  </w:style>
  <w:style w:type="table" w:styleId="TableGrid">
    <w:name w:val="Table Grid"/>
    <w:basedOn w:val="TableNormal"/>
    <w:rsid w:val="002F5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650BC"/>
    <w:pPr>
      <w:spacing w:before="100" w:beforeAutospacing="1" w:after="100" w:afterAutospacing="1"/>
    </w:pPr>
    <w:rPr>
      <w:rFonts w:ascii="Arial Unicode MS" w:eastAsia="Arial Unicode MS" w:hAnsi="Arial Unicode MS" w:cs="Arial Unicode MS"/>
      <w:sz w:val="24"/>
    </w:rPr>
  </w:style>
  <w:style w:type="character" w:styleId="FollowedHyperlink">
    <w:name w:val="FollowedHyperlink"/>
    <w:rsid w:val="003E4031"/>
    <w:rPr>
      <w:color w:val="800080"/>
      <w:u w:val="single"/>
    </w:rPr>
  </w:style>
  <w:style w:type="paragraph" w:styleId="BalloonText">
    <w:name w:val="Balloon Text"/>
    <w:basedOn w:val="Normal"/>
    <w:semiHidden/>
    <w:rsid w:val="000D2036"/>
    <w:rPr>
      <w:rFonts w:ascii="Tahoma" w:hAnsi="Tahoma" w:cs="Tahoma"/>
      <w:sz w:val="16"/>
      <w:szCs w:val="16"/>
    </w:rPr>
  </w:style>
  <w:style w:type="character" w:styleId="Emphasis">
    <w:name w:val="Emphasis"/>
    <w:uiPriority w:val="20"/>
    <w:qFormat/>
    <w:rsid w:val="0002696D"/>
    <w:rPr>
      <w:i/>
      <w:iCs/>
    </w:rPr>
  </w:style>
  <w:style w:type="character" w:customStyle="1" w:styleId="CommentTextChar">
    <w:name w:val="Comment Text Char"/>
    <w:link w:val="CommentText"/>
    <w:semiHidden/>
    <w:rsid w:val="00ED7B43"/>
    <w:rPr>
      <w:rFonts w:ascii="Arial" w:hAnsi="Arial"/>
      <w:lang w:eastAsia="en-US"/>
    </w:rPr>
  </w:style>
  <w:style w:type="paragraph" w:styleId="CommentSubject">
    <w:name w:val="annotation subject"/>
    <w:basedOn w:val="CommentText"/>
    <w:next w:val="CommentText"/>
    <w:link w:val="CommentSubjectChar"/>
    <w:rsid w:val="006141A4"/>
    <w:rPr>
      <w:b/>
      <w:bCs/>
    </w:rPr>
  </w:style>
  <w:style w:type="character" w:customStyle="1" w:styleId="CommentSubjectChar">
    <w:name w:val="Comment Subject Char"/>
    <w:link w:val="CommentSubject"/>
    <w:rsid w:val="006141A4"/>
    <w:rPr>
      <w:rFonts w:ascii="Arial" w:hAnsi="Arial"/>
      <w:b/>
      <w:bCs/>
      <w:lang w:eastAsia="en-US"/>
    </w:rPr>
  </w:style>
  <w:style w:type="paragraph" w:customStyle="1" w:styleId="MediumList2-Accent41">
    <w:name w:val="Medium List 2 - Accent 41"/>
    <w:basedOn w:val="Normal"/>
    <w:uiPriority w:val="34"/>
    <w:qFormat/>
    <w:rsid w:val="00CA2822"/>
    <w:pPr>
      <w:ind w:left="720"/>
    </w:pPr>
    <w:rPr>
      <w:rFonts w:ascii="Times New Roman" w:hAnsi="Times New Roman"/>
      <w:sz w:val="24"/>
    </w:rPr>
  </w:style>
  <w:style w:type="paragraph" w:customStyle="1" w:styleId="LightGrid-Accent31">
    <w:name w:val="Light Grid - Accent 31"/>
    <w:basedOn w:val="Normal"/>
    <w:uiPriority w:val="34"/>
    <w:qFormat/>
    <w:rsid w:val="00037999"/>
    <w:pPr>
      <w:ind w:left="720"/>
      <w:contextualSpacing/>
    </w:pPr>
    <w:rPr>
      <w:rFonts w:ascii="Times New Roman" w:eastAsia="Calibri" w:hAnsi="Times New Roman"/>
      <w:sz w:val="24"/>
    </w:rPr>
  </w:style>
  <w:style w:type="paragraph" w:styleId="PlainText">
    <w:name w:val="Plain Text"/>
    <w:basedOn w:val="Normal"/>
    <w:link w:val="PlainTextChar"/>
    <w:uiPriority w:val="99"/>
    <w:unhideWhenUsed/>
    <w:rsid w:val="00037999"/>
    <w:rPr>
      <w:rFonts w:ascii="Calibri" w:eastAsia="Cambria" w:hAnsi="Calibri"/>
      <w:sz w:val="22"/>
      <w:szCs w:val="21"/>
      <w:lang w:val="x-none"/>
    </w:rPr>
  </w:style>
  <w:style w:type="character" w:customStyle="1" w:styleId="PlainTextChar">
    <w:name w:val="Plain Text Char"/>
    <w:link w:val="PlainText"/>
    <w:uiPriority w:val="99"/>
    <w:rsid w:val="00037999"/>
    <w:rPr>
      <w:rFonts w:ascii="Calibri" w:eastAsia="Cambria" w:hAnsi="Calibr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eastAsia="en-US"/>
    </w:rPr>
  </w:style>
  <w:style w:type="paragraph" w:styleId="Heading1">
    <w:name w:val="heading 1"/>
    <w:basedOn w:val="Normal"/>
    <w:next w:val="Normal"/>
    <w:qFormat/>
    <w:pPr>
      <w:keepNext/>
      <w:outlineLvl w:val="0"/>
    </w:pPr>
    <w:rPr>
      <w:b/>
      <w:color w:val="000080"/>
      <w:szCs w:val="20"/>
    </w:rPr>
  </w:style>
  <w:style w:type="paragraph" w:styleId="Heading2">
    <w:name w:val="heading 2"/>
    <w:basedOn w:val="Normal"/>
    <w:next w:val="Normal"/>
    <w:qFormat/>
    <w:pPr>
      <w:keepNext/>
      <w:spacing w:before="240" w:after="60"/>
      <w:outlineLvl w:val="1"/>
    </w:pPr>
    <w:rPr>
      <w:rFonts w:cs="Arial"/>
      <w:b/>
      <w:bCs/>
      <w:iCs/>
      <w:szCs w:val="28"/>
    </w:rPr>
  </w:style>
  <w:style w:type="paragraph" w:styleId="Heading3">
    <w:name w:val="heading 3"/>
    <w:basedOn w:val="Normal"/>
    <w:next w:val="Normal"/>
    <w:qFormat/>
    <w:pPr>
      <w:keepNext/>
      <w:outlineLvl w:val="2"/>
    </w:pPr>
    <w:rPr>
      <w:b/>
      <w:szCs w:val="20"/>
    </w:rPr>
  </w:style>
  <w:style w:type="paragraph" w:styleId="Heading4">
    <w:name w:val="heading 4"/>
    <w:basedOn w:val="Normal"/>
    <w:next w:val="Normal"/>
    <w:qFormat/>
    <w:pPr>
      <w:keepNext/>
      <w:outlineLvl w:val="3"/>
    </w:pPr>
    <w:rPr>
      <w:b/>
      <w:i/>
      <w:szCs w:val="20"/>
    </w:rPr>
  </w:style>
  <w:style w:type="paragraph" w:styleId="Heading5">
    <w:name w:val="heading 5"/>
    <w:basedOn w:val="Normal"/>
    <w:next w:val="Normal"/>
    <w:qFormat/>
    <w:pPr>
      <w:keepNext/>
      <w:outlineLvl w:val="4"/>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basedOn w:val="Normal"/>
    <w:next w:val="Normal"/>
    <w:rPr>
      <w:b/>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lang w:val="x-none"/>
    </w:rPr>
  </w:style>
  <w:style w:type="paragraph" w:styleId="Title">
    <w:name w:val="Title"/>
    <w:basedOn w:val="Normal"/>
    <w:qFormat/>
    <w:pPr>
      <w:jc w:val="center"/>
    </w:pPr>
    <w:rPr>
      <w:rFonts w:ascii="Arial Narrow" w:hAnsi="Arial Narrow"/>
      <w:b/>
      <w:sz w:val="24"/>
      <w:szCs w:val="20"/>
    </w:rPr>
  </w:style>
  <w:style w:type="paragraph" w:styleId="Header">
    <w:name w:val="header"/>
    <w:basedOn w:val="Normal"/>
    <w:pPr>
      <w:tabs>
        <w:tab w:val="center" w:pos="4153"/>
        <w:tab w:val="right" w:pos="8306"/>
      </w:tabs>
    </w:pPr>
    <w:rPr>
      <w:rFonts w:ascii="Times New Roman" w:hAnsi="Times New Roman"/>
      <w:sz w:val="24"/>
      <w:szCs w:val="20"/>
    </w:rPr>
  </w:style>
  <w:style w:type="paragraph" w:styleId="Footer">
    <w:name w:val="footer"/>
    <w:basedOn w:val="Normal"/>
    <w:pPr>
      <w:tabs>
        <w:tab w:val="center" w:pos="4153"/>
        <w:tab w:val="right" w:pos="8306"/>
      </w:tabs>
    </w:pPr>
  </w:style>
  <w:style w:type="paragraph" w:styleId="BodyText">
    <w:name w:val="Body Text"/>
    <w:basedOn w:val="Normal"/>
    <w:pPr>
      <w:jc w:val="right"/>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rPr>
      <w:b/>
      <w:bCs/>
      <w:color w:val="000000"/>
    </w:rPr>
  </w:style>
  <w:style w:type="paragraph" w:styleId="BodyTextIndent">
    <w:name w:val="Body Text Indent"/>
    <w:basedOn w:val="Normal"/>
    <w:pPr>
      <w:ind w:left="720" w:hanging="720"/>
    </w:pPr>
    <w:rPr>
      <w:b/>
      <w:bCs/>
      <w:color w:val="00000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720" w:hanging="720"/>
    </w:pPr>
    <w:rPr>
      <w:b/>
      <w:bCs/>
      <w:iCs/>
      <w:color w:val="000000"/>
    </w:rPr>
  </w:style>
  <w:style w:type="table" w:styleId="TableGrid">
    <w:name w:val="Table Grid"/>
    <w:basedOn w:val="TableNormal"/>
    <w:rsid w:val="002F5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650BC"/>
    <w:pPr>
      <w:spacing w:before="100" w:beforeAutospacing="1" w:after="100" w:afterAutospacing="1"/>
    </w:pPr>
    <w:rPr>
      <w:rFonts w:ascii="Arial Unicode MS" w:eastAsia="Arial Unicode MS" w:hAnsi="Arial Unicode MS" w:cs="Arial Unicode MS"/>
      <w:sz w:val="24"/>
    </w:rPr>
  </w:style>
  <w:style w:type="character" w:styleId="FollowedHyperlink">
    <w:name w:val="FollowedHyperlink"/>
    <w:rsid w:val="003E4031"/>
    <w:rPr>
      <w:color w:val="800080"/>
      <w:u w:val="single"/>
    </w:rPr>
  </w:style>
  <w:style w:type="paragraph" w:styleId="BalloonText">
    <w:name w:val="Balloon Text"/>
    <w:basedOn w:val="Normal"/>
    <w:semiHidden/>
    <w:rsid w:val="000D2036"/>
    <w:rPr>
      <w:rFonts w:ascii="Tahoma" w:hAnsi="Tahoma" w:cs="Tahoma"/>
      <w:sz w:val="16"/>
      <w:szCs w:val="16"/>
    </w:rPr>
  </w:style>
  <w:style w:type="character" w:styleId="Emphasis">
    <w:name w:val="Emphasis"/>
    <w:uiPriority w:val="20"/>
    <w:qFormat/>
    <w:rsid w:val="0002696D"/>
    <w:rPr>
      <w:i/>
      <w:iCs/>
    </w:rPr>
  </w:style>
  <w:style w:type="character" w:customStyle="1" w:styleId="CommentTextChar">
    <w:name w:val="Comment Text Char"/>
    <w:link w:val="CommentText"/>
    <w:semiHidden/>
    <w:rsid w:val="00ED7B43"/>
    <w:rPr>
      <w:rFonts w:ascii="Arial" w:hAnsi="Arial"/>
      <w:lang w:eastAsia="en-US"/>
    </w:rPr>
  </w:style>
  <w:style w:type="paragraph" w:styleId="CommentSubject">
    <w:name w:val="annotation subject"/>
    <w:basedOn w:val="CommentText"/>
    <w:next w:val="CommentText"/>
    <w:link w:val="CommentSubjectChar"/>
    <w:rsid w:val="006141A4"/>
    <w:rPr>
      <w:b/>
      <w:bCs/>
    </w:rPr>
  </w:style>
  <w:style w:type="character" w:customStyle="1" w:styleId="CommentSubjectChar">
    <w:name w:val="Comment Subject Char"/>
    <w:link w:val="CommentSubject"/>
    <w:rsid w:val="006141A4"/>
    <w:rPr>
      <w:rFonts w:ascii="Arial" w:hAnsi="Arial"/>
      <w:b/>
      <w:bCs/>
      <w:lang w:eastAsia="en-US"/>
    </w:rPr>
  </w:style>
  <w:style w:type="paragraph" w:customStyle="1" w:styleId="MediumList2-Accent41">
    <w:name w:val="Medium List 2 - Accent 41"/>
    <w:basedOn w:val="Normal"/>
    <w:uiPriority w:val="34"/>
    <w:qFormat/>
    <w:rsid w:val="00CA2822"/>
    <w:pPr>
      <w:ind w:left="720"/>
    </w:pPr>
    <w:rPr>
      <w:rFonts w:ascii="Times New Roman" w:hAnsi="Times New Roman"/>
      <w:sz w:val="24"/>
    </w:rPr>
  </w:style>
  <w:style w:type="paragraph" w:customStyle="1" w:styleId="LightGrid-Accent31">
    <w:name w:val="Light Grid - Accent 31"/>
    <w:basedOn w:val="Normal"/>
    <w:uiPriority w:val="34"/>
    <w:qFormat/>
    <w:rsid w:val="00037999"/>
    <w:pPr>
      <w:ind w:left="720"/>
      <w:contextualSpacing/>
    </w:pPr>
    <w:rPr>
      <w:rFonts w:ascii="Times New Roman" w:eastAsia="Calibri" w:hAnsi="Times New Roman"/>
      <w:sz w:val="24"/>
    </w:rPr>
  </w:style>
  <w:style w:type="paragraph" w:styleId="PlainText">
    <w:name w:val="Plain Text"/>
    <w:basedOn w:val="Normal"/>
    <w:link w:val="PlainTextChar"/>
    <w:uiPriority w:val="99"/>
    <w:unhideWhenUsed/>
    <w:rsid w:val="00037999"/>
    <w:rPr>
      <w:rFonts w:ascii="Calibri" w:eastAsia="Cambria" w:hAnsi="Calibri"/>
      <w:sz w:val="22"/>
      <w:szCs w:val="21"/>
      <w:lang w:val="x-none"/>
    </w:rPr>
  </w:style>
  <w:style w:type="character" w:customStyle="1" w:styleId="PlainTextChar">
    <w:name w:val="Plain Text Char"/>
    <w:link w:val="PlainText"/>
    <w:uiPriority w:val="99"/>
    <w:rsid w:val="00037999"/>
    <w:rPr>
      <w:rFonts w:ascii="Calibri" w:eastAsia="Cambria"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5589">
      <w:bodyDiv w:val="1"/>
      <w:marLeft w:val="0"/>
      <w:marRight w:val="0"/>
      <w:marTop w:val="0"/>
      <w:marBottom w:val="0"/>
      <w:divBdr>
        <w:top w:val="none" w:sz="0" w:space="0" w:color="auto"/>
        <w:left w:val="none" w:sz="0" w:space="0" w:color="auto"/>
        <w:bottom w:val="none" w:sz="0" w:space="0" w:color="auto"/>
        <w:right w:val="none" w:sz="0" w:space="0" w:color="auto"/>
      </w:divBdr>
    </w:div>
    <w:div w:id="57441220">
      <w:bodyDiv w:val="1"/>
      <w:marLeft w:val="0"/>
      <w:marRight w:val="0"/>
      <w:marTop w:val="0"/>
      <w:marBottom w:val="0"/>
      <w:divBdr>
        <w:top w:val="none" w:sz="0" w:space="0" w:color="auto"/>
        <w:left w:val="none" w:sz="0" w:space="0" w:color="auto"/>
        <w:bottom w:val="none" w:sz="0" w:space="0" w:color="auto"/>
        <w:right w:val="none" w:sz="0" w:space="0" w:color="auto"/>
      </w:divBdr>
    </w:div>
    <w:div w:id="627249884">
      <w:bodyDiv w:val="1"/>
      <w:marLeft w:val="0"/>
      <w:marRight w:val="0"/>
      <w:marTop w:val="0"/>
      <w:marBottom w:val="0"/>
      <w:divBdr>
        <w:top w:val="none" w:sz="0" w:space="0" w:color="auto"/>
        <w:left w:val="none" w:sz="0" w:space="0" w:color="auto"/>
        <w:bottom w:val="none" w:sz="0" w:space="0" w:color="auto"/>
        <w:right w:val="none" w:sz="0" w:space="0" w:color="auto"/>
      </w:divBdr>
    </w:div>
    <w:div w:id="909928932">
      <w:bodyDiv w:val="1"/>
      <w:marLeft w:val="0"/>
      <w:marRight w:val="0"/>
      <w:marTop w:val="0"/>
      <w:marBottom w:val="0"/>
      <w:divBdr>
        <w:top w:val="none" w:sz="0" w:space="0" w:color="auto"/>
        <w:left w:val="none" w:sz="0" w:space="0" w:color="auto"/>
        <w:bottom w:val="none" w:sz="0" w:space="0" w:color="auto"/>
        <w:right w:val="none" w:sz="0" w:space="0" w:color="auto"/>
      </w:divBdr>
    </w:div>
    <w:div w:id="1172834036">
      <w:bodyDiv w:val="1"/>
      <w:marLeft w:val="0"/>
      <w:marRight w:val="0"/>
      <w:marTop w:val="0"/>
      <w:marBottom w:val="0"/>
      <w:divBdr>
        <w:top w:val="none" w:sz="0" w:space="0" w:color="auto"/>
        <w:left w:val="none" w:sz="0" w:space="0" w:color="auto"/>
        <w:bottom w:val="none" w:sz="0" w:space="0" w:color="auto"/>
        <w:right w:val="none" w:sz="0" w:space="0" w:color="auto"/>
      </w:divBdr>
    </w:div>
    <w:div w:id="1404449455">
      <w:bodyDiv w:val="1"/>
      <w:marLeft w:val="0"/>
      <w:marRight w:val="0"/>
      <w:marTop w:val="0"/>
      <w:marBottom w:val="0"/>
      <w:divBdr>
        <w:top w:val="none" w:sz="0" w:space="0" w:color="auto"/>
        <w:left w:val="none" w:sz="0" w:space="0" w:color="auto"/>
        <w:bottom w:val="none" w:sz="0" w:space="0" w:color="auto"/>
        <w:right w:val="none" w:sz="0" w:space="0" w:color="auto"/>
      </w:divBdr>
    </w:div>
    <w:div w:id="207600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se.ac.uk/resources/calendar/programmeRegulations/mResPhD/mResPhDinAnthropology.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2.lse.ac.uk/intranet/CareersAndVacancies/graduateDestinations/Hom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52241215.dotm</Template>
  <TotalTime>6</TotalTime>
  <Pages>3</Pages>
  <Words>1188</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8400</CharactersWithSpaces>
  <SharedDoc>false</SharedDoc>
  <HLinks>
    <vt:vector size="186" baseType="variant">
      <vt:variant>
        <vt:i4>4456528</vt:i4>
      </vt:variant>
      <vt:variant>
        <vt:i4>90</vt:i4>
      </vt:variant>
      <vt:variant>
        <vt:i4>0</vt:i4>
      </vt:variant>
      <vt:variant>
        <vt:i4>5</vt:i4>
      </vt:variant>
      <vt:variant>
        <vt:lpwstr>http://www2.lse.ac.uk/intranet/CareersAndVacancies/graduateDestinations/Home.aspx</vt:lpwstr>
      </vt:variant>
      <vt:variant>
        <vt:lpwstr/>
      </vt:variant>
      <vt:variant>
        <vt:i4>2883703</vt:i4>
      </vt:variant>
      <vt:variant>
        <vt:i4>87</vt:i4>
      </vt:variant>
      <vt:variant>
        <vt:i4>0</vt:i4>
      </vt:variant>
      <vt:variant>
        <vt:i4>5</vt:i4>
      </vt:variant>
      <vt:variant>
        <vt:lpwstr>http://www2.lse.ac.uk/intranet/LSEServices/TQARO/ProgrammeSpecifications/Home.aspx</vt:lpwstr>
      </vt:variant>
      <vt:variant>
        <vt:lpwstr/>
      </vt:variant>
      <vt:variant>
        <vt:i4>2883703</vt:i4>
      </vt:variant>
      <vt:variant>
        <vt:i4>84</vt:i4>
      </vt:variant>
      <vt:variant>
        <vt:i4>0</vt:i4>
      </vt:variant>
      <vt:variant>
        <vt:i4>5</vt:i4>
      </vt:variant>
      <vt:variant>
        <vt:lpwstr>http://www2.lse.ac.uk/intranet/LSEServices/TQARO/ProgrammeSpecifications/Home.aspx</vt:lpwstr>
      </vt:variant>
      <vt:variant>
        <vt:lpwstr/>
      </vt:variant>
      <vt:variant>
        <vt:i4>4849679</vt:i4>
      </vt:variant>
      <vt:variant>
        <vt:i4>81</vt:i4>
      </vt:variant>
      <vt:variant>
        <vt:i4>0</vt:i4>
      </vt:variant>
      <vt:variant>
        <vt:i4>5</vt:i4>
      </vt:variant>
      <vt:variant>
        <vt:lpwstr>http://www2.lse.ac.uk/researchAndExpertise/Experts/Home.aspx</vt:lpwstr>
      </vt:variant>
      <vt:variant>
        <vt:lpwstr/>
      </vt:variant>
      <vt:variant>
        <vt:i4>5570631</vt:i4>
      </vt:variant>
      <vt:variant>
        <vt:i4>78</vt:i4>
      </vt:variant>
      <vt:variant>
        <vt:i4>0</vt:i4>
      </vt:variant>
      <vt:variant>
        <vt:i4>5</vt:i4>
      </vt:variant>
      <vt:variant>
        <vt:lpwstr>http://www2.lse.ac.uk/intranet/LSEServices/divisionsAndDepartments/TQARO/CourseProgrammeProposals/NewProgrammes/E-MScTimetablingForm.doc</vt:lpwstr>
      </vt:variant>
      <vt:variant>
        <vt:lpwstr/>
      </vt:variant>
      <vt:variant>
        <vt:i4>2424918</vt:i4>
      </vt:variant>
      <vt:variant>
        <vt:i4>75</vt:i4>
      </vt:variant>
      <vt:variant>
        <vt:i4>0</vt:i4>
      </vt:variant>
      <vt:variant>
        <vt:i4>5</vt:i4>
      </vt:variant>
      <vt:variant>
        <vt:lpwstr>mailto:l.j.green@lse.ac.uk</vt:lpwstr>
      </vt:variant>
      <vt:variant>
        <vt:lpwstr/>
      </vt:variant>
      <vt:variant>
        <vt:i4>2359306</vt:i4>
      </vt:variant>
      <vt:variant>
        <vt:i4>72</vt:i4>
      </vt:variant>
      <vt:variant>
        <vt:i4>0</vt:i4>
      </vt:variant>
      <vt:variant>
        <vt:i4>5</vt:i4>
      </vt:variant>
      <vt:variant>
        <vt:lpwstr>mailto:s.solanki@lse.ac.uk</vt:lpwstr>
      </vt:variant>
      <vt:variant>
        <vt:lpwstr/>
      </vt:variant>
      <vt:variant>
        <vt:i4>1769563</vt:i4>
      </vt:variant>
      <vt:variant>
        <vt:i4>69</vt:i4>
      </vt:variant>
      <vt:variant>
        <vt:i4>0</vt:i4>
      </vt:variant>
      <vt:variant>
        <vt:i4>5</vt:i4>
      </vt:variant>
      <vt:variant>
        <vt:lpwstr>http://www.lse.ac.uk/intranet/LSEServices/TQARO/CourseProgrammeProposals/NewCourses/Home.aspx</vt:lpwstr>
      </vt:variant>
      <vt:variant>
        <vt:lpwstr/>
      </vt:variant>
      <vt:variant>
        <vt:i4>5374029</vt:i4>
      </vt:variant>
      <vt:variant>
        <vt:i4>66</vt:i4>
      </vt:variant>
      <vt:variant>
        <vt:i4>0</vt:i4>
      </vt:variant>
      <vt:variant>
        <vt:i4>5</vt:i4>
      </vt:variant>
      <vt:variant>
        <vt:lpwstr>http://www.lse.ac.uk/resources/calendar/research.htm</vt:lpwstr>
      </vt:variant>
      <vt:variant>
        <vt:lpwstr/>
      </vt:variant>
      <vt:variant>
        <vt:i4>8192006</vt:i4>
      </vt:variant>
      <vt:variant>
        <vt:i4>63</vt:i4>
      </vt:variant>
      <vt:variant>
        <vt:i4>0</vt:i4>
      </vt:variant>
      <vt:variant>
        <vt:i4>5</vt:i4>
      </vt:variant>
      <vt:variant>
        <vt:lpwstr>http://www.lse.ac.uk/resources/calendar/courseGuides/AN/2013_AN457.htm</vt:lpwstr>
      </vt:variant>
      <vt:variant>
        <vt:lpwstr/>
      </vt:variant>
      <vt:variant>
        <vt:i4>8126470</vt:i4>
      </vt:variant>
      <vt:variant>
        <vt:i4>60</vt:i4>
      </vt:variant>
      <vt:variant>
        <vt:i4>0</vt:i4>
      </vt:variant>
      <vt:variant>
        <vt:i4>5</vt:i4>
      </vt:variant>
      <vt:variant>
        <vt:lpwstr>http://www.lse.ac.uk/resources/calendar/courseGuides/AN/2013_AN456.htm</vt:lpwstr>
      </vt:variant>
      <vt:variant>
        <vt:lpwstr/>
      </vt:variant>
      <vt:variant>
        <vt:i4>8060934</vt:i4>
      </vt:variant>
      <vt:variant>
        <vt:i4>57</vt:i4>
      </vt:variant>
      <vt:variant>
        <vt:i4>0</vt:i4>
      </vt:variant>
      <vt:variant>
        <vt:i4>5</vt:i4>
      </vt:variant>
      <vt:variant>
        <vt:lpwstr>http://www.lse.ac.uk/resources/calendar/courseGuides/AN/2013_AN451.htm</vt:lpwstr>
      </vt:variant>
      <vt:variant>
        <vt:lpwstr/>
      </vt:variant>
      <vt:variant>
        <vt:i4>8192000</vt:i4>
      </vt:variant>
      <vt:variant>
        <vt:i4>54</vt:i4>
      </vt:variant>
      <vt:variant>
        <vt:i4>0</vt:i4>
      </vt:variant>
      <vt:variant>
        <vt:i4>5</vt:i4>
      </vt:variant>
      <vt:variant>
        <vt:lpwstr>http://www.lse.ac.uk/resources/calendar/courseGuides/AN/2013_AN437.htm</vt:lpwstr>
      </vt:variant>
      <vt:variant>
        <vt:lpwstr/>
      </vt:variant>
      <vt:variant>
        <vt:i4>8323075</vt:i4>
      </vt:variant>
      <vt:variant>
        <vt:i4>51</vt:i4>
      </vt:variant>
      <vt:variant>
        <vt:i4>0</vt:i4>
      </vt:variant>
      <vt:variant>
        <vt:i4>5</vt:i4>
      </vt:variant>
      <vt:variant>
        <vt:lpwstr>http://www.lse.ac.uk/resources/calendar/courseGuides/AN/2013_AN405.htm</vt:lpwstr>
      </vt:variant>
      <vt:variant>
        <vt:lpwstr/>
      </vt:variant>
      <vt:variant>
        <vt:i4>7864323</vt:i4>
      </vt:variant>
      <vt:variant>
        <vt:i4>48</vt:i4>
      </vt:variant>
      <vt:variant>
        <vt:i4>0</vt:i4>
      </vt:variant>
      <vt:variant>
        <vt:i4>5</vt:i4>
      </vt:variant>
      <vt:variant>
        <vt:lpwstr>http://www.lse.ac.uk/resources/calendar/courseGuides/AN/2013_AN402.htm</vt:lpwstr>
      </vt:variant>
      <vt:variant>
        <vt:lpwstr/>
      </vt:variant>
      <vt:variant>
        <vt:i4>8060931</vt:i4>
      </vt:variant>
      <vt:variant>
        <vt:i4>45</vt:i4>
      </vt:variant>
      <vt:variant>
        <vt:i4>0</vt:i4>
      </vt:variant>
      <vt:variant>
        <vt:i4>5</vt:i4>
      </vt:variant>
      <vt:variant>
        <vt:lpwstr>http://www.lse.ac.uk/resources/calendar/courseGuides/AN/2013_AN500.htm</vt:lpwstr>
      </vt:variant>
      <vt:variant>
        <vt:lpwstr/>
      </vt:variant>
      <vt:variant>
        <vt:i4>3080227</vt:i4>
      </vt:variant>
      <vt:variant>
        <vt:i4>42</vt:i4>
      </vt:variant>
      <vt:variant>
        <vt:i4>0</vt:i4>
      </vt:variant>
      <vt:variant>
        <vt:i4>5</vt:i4>
      </vt:variant>
      <vt:variant>
        <vt:lpwstr>http://www2.lse.ac.uk/intranet/LSEServices/TQARO/CourseProgrammeProposals/NewCourses/NewCourseProposalForm.doc</vt:lpwstr>
      </vt:variant>
      <vt:variant>
        <vt:lpwstr/>
      </vt:variant>
      <vt:variant>
        <vt:i4>1900662</vt:i4>
      </vt:variant>
      <vt:variant>
        <vt:i4>39</vt:i4>
      </vt:variant>
      <vt:variant>
        <vt:i4>0</vt:i4>
      </vt:variant>
      <vt:variant>
        <vt:i4>5</vt:i4>
      </vt:variant>
      <vt:variant>
        <vt:lpwstr>mailto:j.owen2@lse.ac.uk</vt:lpwstr>
      </vt:variant>
      <vt:variant>
        <vt:lpwstr/>
      </vt:variant>
      <vt:variant>
        <vt:i4>4784173</vt:i4>
      </vt:variant>
      <vt:variant>
        <vt:i4>36</vt:i4>
      </vt:variant>
      <vt:variant>
        <vt:i4>0</vt:i4>
      </vt:variant>
      <vt:variant>
        <vt:i4>5</vt:i4>
      </vt:variant>
      <vt:variant>
        <vt:lpwstr>mailto:c.r.baldwin@lse.ac.uk</vt:lpwstr>
      </vt:variant>
      <vt:variant>
        <vt:lpwstr/>
      </vt:variant>
      <vt:variant>
        <vt:i4>262156</vt:i4>
      </vt:variant>
      <vt:variant>
        <vt:i4>33</vt:i4>
      </vt:variant>
      <vt:variant>
        <vt:i4>0</vt:i4>
      </vt:variant>
      <vt:variant>
        <vt:i4>5</vt:i4>
      </vt:variant>
      <vt:variant>
        <vt:lpwstr>http://www.qaa.ac.uk/AssuringStandardsAndQuality/subject-guidance/Pages/Subject-benchmark-statements.aspx</vt:lpwstr>
      </vt:variant>
      <vt:variant>
        <vt:lpwstr/>
      </vt:variant>
      <vt:variant>
        <vt:i4>4915223</vt:i4>
      </vt:variant>
      <vt:variant>
        <vt:i4>30</vt:i4>
      </vt:variant>
      <vt:variant>
        <vt:i4>0</vt:i4>
      </vt:variant>
      <vt:variant>
        <vt:i4>5</vt:i4>
      </vt:variant>
      <vt:variant>
        <vt:lpwstr>http://www.qaa.ac.uk/Publications/InformationAndGuidance/Documents/FHEQ08.pdf</vt:lpwstr>
      </vt:variant>
      <vt:variant>
        <vt:lpwstr/>
      </vt:variant>
      <vt:variant>
        <vt:i4>7340033</vt:i4>
      </vt:variant>
      <vt:variant>
        <vt:i4>27</vt:i4>
      </vt:variant>
      <vt:variant>
        <vt:i4>0</vt:i4>
      </vt:variant>
      <vt:variant>
        <vt:i4>5</vt:i4>
      </vt:variant>
      <vt:variant>
        <vt:lpwstr>http://www.ucas.com/he_staff/courses/jacs/</vt:lpwstr>
      </vt:variant>
      <vt:variant>
        <vt:lpwstr/>
      </vt:variant>
      <vt:variant>
        <vt:i4>2752516</vt:i4>
      </vt:variant>
      <vt:variant>
        <vt:i4>24</vt:i4>
      </vt:variant>
      <vt:variant>
        <vt:i4>0</vt:i4>
      </vt:variant>
      <vt:variant>
        <vt:i4>5</vt:i4>
      </vt:variant>
      <vt:variant>
        <vt:lpwstr>http://www.hesa.ac.uk/dox/jacs/JACS_complete.pdf</vt:lpwstr>
      </vt:variant>
      <vt:variant>
        <vt:lpwstr/>
      </vt:variant>
      <vt:variant>
        <vt:i4>4849790</vt:i4>
      </vt:variant>
      <vt:variant>
        <vt:i4>21</vt:i4>
      </vt:variant>
      <vt:variant>
        <vt:i4>0</vt:i4>
      </vt:variant>
      <vt:variant>
        <vt:i4>5</vt:i4>
      </vt:variant>
      <vt:variant>
        <vt:lpwstr>mailto:m.brack@lse.ac.uk</vt:lpwstr>
      </vt:variant>
      <vt:variant>
        <vt:lpwstr/>
      </vt:variant>
      <vt:variant>
        <vt:i4>4325436</vt:i4>
      </vt:variant>
      <vt:variant>
        <vt:i4>18</vt:i4>
      </vt:variant>
      <vt:variant>
        <vt:i4>0</vt:i4>
      </vt:variant>
      <vt:variant>
        <vt:i4>5</vt:i4>
      </vt:variant>
      <vt:variant>
        <vt:lpwstr>mailto:t.w.hewlett@lse.ac.uk</vt:lpwstr>
      </vt:variant>
      <vt:variant>
        <vt:lpwstr/>
      </vt:variant>
      <vt:variant>
        <vt:i4>5242923</vt:i4>
      </vt:variant>
      <vt:variant>
        <vt:i4>15</vt:i4>
      </vt:variant>
      <vt:variant>
        <vt:i4>0</vt:i4>
      </vt:variant>
      <vt:variant>
        <vt:i4>5</vt:i4>
      </vt:variant>
      <vt:variant>
        <vt:lpwstr>mailto:m.t.thomson@lse.ac.uk</vt:lpwstr>
      </vt:variant>
      <vt:variant>
        <vt:lpwstr/>
      </vt:variant>
      <vt:variant>
        <vt:i4>3407910</vt:i4>
      </vt:variant>
      <vt:variant>
        <vt:i4>12</vt:i4>
      </vt:variant>
      <vt:variant>
        <vt:i4>0</vt:i4>
      </vt:variant>
      <vt:variant>
        <vt:i4>5</vt:i4>
      </vt:variant>
      <vt:variant>
        <vt:lpwstr>http://www.lse.ac.uk/intranet/LSEServices/TQARO/CourseProgrammeProposals/SubCommitteesAndDeadlines.aspx</vt:lpwstr>
      </vt:variant>
      <vt:variant>
        <vt:lpwstr/>
      </vt:variant>
      <vt:variant>
        <vt:i4>8192092</vt:i4>
      </vt:variant>
      <vt:variant>
        <vt:i4>9</vt:i4>
      </vt:variant>
      <vt:variant>
        <vt:i4>0</vt:i4>
      </vt:variant>
      <vt:variant>
        <vt:i4>5</vt:i4>
      </vt:variant>
      <vt:variant>
        <vt:lpwstr>mailto:jal6@cam.ac.uk</vt:lpwstr>
      </vt:variant>
      <vt:variant>
        <vt:lpwstr/>
      </vt:variant>
      <vt:variant>
        <vt:i4>4456572</vt:i4>
      </vt:variant>
      <vt:variant>
        <vt:i4>6</vt:i4>
      </vt:variant>
      <vt:variant>
        <vt:i4>0</vt:i4>
      </vt:variant>
      <vt:variant>
        <vt:i4>5</vt:i4>
      </vt:variant>
      <vt:variant>
        <vt:lpwstr>mailto:janet.carsten@ed.ac.uk</vt:lpwstr>
      </vt:variant>
      <vt:variant>
        <vt:lpwstr/>
      </vt:variant>
      <vt:variant>
        <vt:i4>4063345</vt:i4>
      </vt:variant>
      <vt:variant>
        <vt:i4>3</vt:i4>
      </vt:variant>
      <vt:variant>
        <vt:i4>0</vt:i4>
      </vt:variant>
      <vt:variant>
        <vt:i4>5</vt:i4>
      </vt:variant>
      <vt:variant>
        <vt:lpwstr>http://www2.lse.ac.uk/intranet/LSEServices/TQARO/CourseProgrammeProposals/Home.aspx</vt:lpwstr>
      </vt:variant>
      <vt:variant>
        <vt:lpwstr/>
      </vt:variant>
      <vt:variant>
        <vt:i4>3997795</vt:i4>
      </vt:variant>
      <vt:variant>
        <vt:i4>0</vt:i4>
      </vt:variant>
      <vt:variant>
        <vt:i4>0</vt:i4>
      </vt:variant>
      <vt:variant>
        <vt:i4>5</vt:i4>
      </vt:variant>
      <vt:variant>
        <vt:lpwstr>http://www2.lse.ac.uk/intranet/LSEServices/TQARO/CourseProgrammeProposals/PolicyOnCourseProgrammeApprovals2013.doc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 Cowan</dc:creator>
  <cp:lastModifiedBy>Administrator</cp:lastModifiedBy>
  <cp:revision>5</cp:revision>
  <cp:lastPrinted>2011-08-17T12:36:00Z</cp:lastPrinted>
  <dcterms:created xsi:type="dcterms:W3CDTF">2016-01-05T15:28:00Z</dcterms:created>
  <dcterms:modified xsi:type="dcterms:W3CDTF">2016-01-06T07:54:00Z</dcterms:modified>
</cp:coreProperties>
</file>