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32" w:rsidRDefault="003B6932" w:rsidP="003B6932">
      <w:pPr>
        <w:pStyle w:val="CuerpoAA"/>
        <w:tabs>
          <w:tab w:val="left" w:pos="720"/>
        </w:tabs>
        <w:spacing w:line="360" w:lineRule="auto"/>
        <w:contextualSpacing/>
        <w:rPr>
          <w:rStyle w:val="Ninguno"/>
          <w:rFonts w:ascii="Times New Roman" w:hAnsi="Times New Roman"/>
          <w:sz w:val="28"/>
          <w:szCs w:val="28"/>
          <w:lang w:val="en-GB"/>
        </w:rPr>
      </w:pPr>
      <w:r w:rsidRPr="003C5CD1">
        <w:rPr>
          <w:rStyle w:val="Ninguno"/>
          <w:rFonts w:ascii="Times New Roman" w:hAnsi="Times New Roman"/>
          <w:sz w:val="28"/>
          <w:szCs w:val="28"/>
          <w:lang w:val="en-GB"/>
        </w:rPr>
        <w:t>F.O.R.D.</w:t>
      </w:r>
      <w:r w:rsidRPr="003C5CD1">
        <w:rPr>
          <w:rStyle w:val="FootnoteReference"/>
          <w:rFonts w:ascii="Times New Roman" w:hAnsi="Times New Roman"/>
          <w:sz w:val="28"/>
          <w:szCs w:val="28"/>
          <w:lang w:val="en-GB"/>
        </w:rPr>
        <w:footnoteReference w:id="1"/>
      </w:r>
      <w:r w:rsidRPr="003C5CD1">
        <w:rPr>
          <w:rStyle w:val="Ninguno"/>
          <w:rFonts w:ascii="Times New Roman" w:hAnsi="Times New Roman"/>
          <w:sz w:val="28"/>
          <w:szCs w:val="28"/>
          <w:vertAlign w:val="superscript"/>
          <w:lang w:val="en-GB"/>
        </w:rPr>
        <w:t xml:space="preserve"> </w:t>
      </w:r>
      <w:r w:rsidRPr="003C5CD1">
        <w:rPr>
          <w:rStyle w:val="Ninguno"/>
          <w:rFonts w:ascii="Times New Roman" w:hAnsi="Times New Roman"/>
          <w:sz w:val="28"/>
          <w:szCs w:val="28"/>
          <w:lang w:val="en-GB"/>
        </w:rPr>
        <w:t>Memorandum</w:t>
      </w:r>
      <w:r w:rsidRPr="00D050B0">
        <w:rPr>
          <w:rStyle w:val="Ninguno"/>
          <w:rFonts w:ascii="Times New Roman" w:hAnsi="Times New Roman"/>
          <w:sz w:val="28"/>
          <w:szCs w:val="28"/>
          <w:lang w:val="en-GB"/>
        </w:rPr>
        <w:t xml:space="preserve"> on Soviet and satellite attitudes towards Israel, 15 May 1949</w:t>
      </w:r>
    </w:p>
    <w:p w:rsidR="003B6932" w:rsidRPr="00F55406" w:rsidRDefault="003B6932" w:rsidP="003B6932">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bookmarkStart w:id="0" w:name="_GoBack"/>
      <w:bookmarkEnd w:id="0"/>
    </w:p>
    <w:p w:rsidR="003B6932" w:rsidRPr="00D050B0" w:rsidRDefault="003B6932" w:rsidP="003B6932">
      <w:pPr>
        <w:pStyle w:val="CuerpoAA"/>
        <w:tabs>
          <w:tab w:val="left" w:pos="720"/>
        </w:tabs>
        <w:spacing w:line="360" w:lineRule="auto"/>
        <w:contextualSpacing/>
        <w:jc w:val="center"/>
        <w:rPr>
          <w:rStyle w:val="Ninguno"/>
          <w:rFonts w:ascii="Times New Roman" w:hAnsi="Times New Roman"/>
          <w:sz w:val="28"/>
          <w:szCs w:val="28"/>
          <w:u w:val="single"/>
          <w:lang w:val="en-GB"/>
        </w:rPr>
      </w:pPr>
      <w:r w:rsidRPr="00D050B0">
        <w:rPr>
          <w:rStyle w:val="Ninguno"/>
          <w:rFonts w:ascii="Times New Roman" w:hAnsi="Times New Roman"/>
          <w:sz w:val="28"/>
          <w:szCs w:val="28"/>
          <w:u w:val="single"/>
          <w:lang w:val="en-GB"/>
        </w:rPr>
        <w:t>THE ATTITUDE OF THE SOVIET UNION AND THE SATELLITE GOVERNMENTS TOWARDS ISRAEL</w:t>
      </w:r>
    </w:p>
    <w:p w:rsidR="003B6932" w:rsidRPr="00D050B0" w:rsidRDefault="003B6932" w:rsidP="003B6932">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eastAsia="Times New Roman" w:hAnsi="Times New Roman" w:cs="Times New Roman"/>
          <w:sz w:val="28"/>
          <w:szCs w:val="28"/>
          <w:lang w:val="en-GB"/>
        </w:rPr>
        <w:tab/>
        <w:t xml:space="preserve">When, in the autumn of 1947, the U.S.S.R. gave her support to the establishment of a Jewish State in Palestine, the Zionists hoped that they had won a powerful friend. The recrudescence, since the middle of 1948, of officially-inspired anti-Zionism in Eastern Europe has therefore come as a disappointment to them. In view of these events, it has been thought worthwhile to examine past records of the policy of the Soviet Union and her satellites towards Jews and towards Zionism and a series of memoranda on the subject has been prepared of which abbreviated versions follow. </w:t>
      </w:r>
    </w:p>
    <w:p w:rsidR="003B6932" w:rsidRPr="00D050B0" w:rsidRDefault="003B6932" w:rsidP="003B6932">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eastAsia="Times New Roman" w:hAnsi="Times New Roman" w:cs="Times New Roman"/>
          <w:sz w:val="28"/>
          <w:szCs w:val="28"/>
          <w:lang w:val="en-GB"/>
        </w:rPr>
        <w:tab/>
        <w:t xml:space="preserve">These memoranda clearly bring out the fact that Soviet policy is essentially opposed to Zionism and that, particularly in the case of the Soviet Union, it was the temporary attitude of benevolence rather than its cessation which might have caused surprise. Viewed in the light of earlier pronouncements on the subject of Zionism it is evident that Soviet support of the Israeli case before the United Nations, her precipitate recognition of the State of Israel, her approval of the export of arms and emigration of men of fighting age to Israel during the critical months before and after the termination of the Mandate, were manifestations of an anti-British rather than of a pro-Zionist policy. </w:t>
      </w:r>
    </w:p>
    <w:p w:rsidR="003B6932" w:rsidRPr="00D050B0" w:rsidRDefault="003B6932" w:rsidP="003B6932">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eastAsia="Times New Roman" w:hAnsi="Times New Roman" w:cs="Times New Roman"/>
          <w:sz w:val="28"/>
          <w:szCs w:val="28"/>
          <w:lang w:val="en-GB"/>
        </w:rPr>
        <w:tab/>
        <w:t xml:space="preserve">In the satellite countries the intensity with which the recent campaign against Zionism has been conducted has apparently varied according to the differences in the numbers and influence of the Jews in each country and in the </w:t>
      </w:r>
      <w:r w:rsidRPr="00D050B0">
        <w:rPr>
          <w:rStyle w:val="Ninguno"/>
          <w:rFonts w:ascii="Times New Roman" w:eastAsia="Times New Roman" w:hAnsi="Times New Roman" w:cs="Times New Roman"/>
          <w:sz w:val="28"/>
          <w:szCs w:val="28"/>
          <w:lang w:val="en-GB"/>
        </w:rPr>
        <w:lastRenderedPageBreak/>
        <w:t xml:space="preserve">power of the anti-Zionist Jews. In Romania, where the situation for Zionists is worse than in other Eastern European countries Jewish Communists are particularly strong and they are believed always to be more bitter of Zionism than any gentiles are. </w:t>
      </w:r>
    </w:p>
    <w:p w:rsidR="003B6932" w:rsidRPr="00D050B0" w:rsidRDefault="003B6932" w:rsidP="003B6932">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eastAsia="Times New Roman" w:hAnsi="Times New Roman" w:cs="Times New Roman"/>
          <w:sz w:val="28"/>
          <w:szCs w:val="28"/>
          <w:lang w:val="en-GB"/>
        </w:rPr>
        <w:tab/>
        <w:t>Various reasons for this opposition to Zionist activities have been suggested. The Israeli press, according to its political affiliations, has advanced different theories</w:t>
      </w:r>
      <w:r w:rsidRPr="00D050B0">
        <w:rPr>
          <w:rStyle w:val="Ninguno"/>
          <w:rFonts w:ascii="Times New Roman" w:hAnsi="Times New Roman"/>
          <w:sz w:val="28"/>
          <w:szCs w:val="28"/>
          <w:lang w:val="en-GB"/>
        </w:rPr>
        <w:t>…</w:t>
      </w:r>
    </w:p>
    <w:p w:rsidR="003B6932" w:rsidRDefault="003B6932" w:rsidP="003B6932">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eastAsia="Times New Roman" w:hAnsi="Times New Roman" w:cs="Times New Roman"/>
          <w:sz w:val="28"/>
          <w:szCs w:val="28"/>
          <w:lang w:val="en-GB"/>
        </w:rPr>
        <w:tab/>
        <w:t>It is unlikely that the Soviet Government has serious hopes of the Communists obtaining control of the Israeli Government in the elections of the 25</w:t>
      </w:r>
      <w:r w:rsidRPr="00D050B0">
        <w:rPr>
          <w:rStyle w:val="Ninguno"/>
          <w:rFonts w:ascii="Times New Roman" w:hAnsi="Times New Roman"/>
          <w:sz w:val="28"/>
          <w:szCs w:val="28"/>
          <w:vertAlign w:val="superscript"/>
          <w:lang w:val="en-GB"/>
        </w:rPr>
        <w:t>th</w:t>
      </w:r>
      <w:r w:rsidRPr="00D050B0">
        <w:rPr>
          <w:rStyle w:val="Ninguno"/>
          <w:rFonts w:ascii="Times New Roman" w:hAnsi="Times New Roman"/>
          <w:sz w:val="28"/>
          <w:szCs w:val="28"/>
          <w:lang w:val="en-GB"/>
        </w:rPr>
        <w:t xml:space="preserve"> January, 1949. Anti-Zionist activities in East Europe began several months before the election, while political support for Israel still continues. The Communists polled only 3% of the votes – no larger a percentage than in the elections to the Jewish ‘elected Assembly’ in 1944, while </w:t>
      </w:r>
      <w:proofErr w:type="spellStart"/>
      <w:r w:rsidRPr="00D050B0">
        <w:rPr>
          <w:rStyle w:val="Ninguno"/>
          <w:rFonts w:ascii="Times New Roman" w:hAnsi="Times New Roman"/>
          <w:sz w:val="28"/>
          <w:szCs w:val="28"/>
          <w:lang w:val="en-GB"/>
        </w:rPr>
        <w:t>Mapam</w:t>
      </w:r>
      <w:proofErr w:type="spellEnd"/>
      <w:r w:rsidRPr="00D050B0">
        <w:rPr>
          <w:rStyle w:val="Ninguno"/>
          <w:rFonts w:ascii="Times New Roman" w:hAnsi="Times New Roman"/>
          <w:sz w:val="28"/>
          <w:szCs w:val="28"/>
          <w:lang w:val="en-GB"/>
        </w:rPr>
        <w:t xml:space="preserve">, the left-wing party partially penetrated by Communists, though gaining a bad second place, failed to come up to expectations or to make an Agreement with Ben </w:t>
      </w:r>
      <w:proofErr w:type="spellStart"/>
      <w:r w:rsidRPr="00D050B0">
        <w:rPr>
          <w:rStyle w:val="Ninguno"/>
          <w:rFonts w:ascii="Times New Roman" w:hAnsi="Times New Roman"/>
          <w:sz w:val="28"/>
          <w:szCs w:val="28"/>
          <w:lang w:val="en-GB"/>
        </w:rPr>
        <w:t>Gurion</w:t>
      </w:r>
      <w:proofErr w:type="spellEnd"/>
      <w:r w:rsidRPr="00D050B0">
        <w:rPr>
          <w:rStyle w:val="Ninguno"/>
          <w:rFonts w:ascii="Times New Roman" w:eastAsia="Times New Roman" w:hAnsi="Times New Roman" w:cs="Times New Roman"/>
          <w:sz w:val="28"/>
          <w:szCs w:val="28"/>
          <w:vertAlign w:val="superscript"/>
          <w:lang w:val="en-GB"/>
        </w:rPr>
        <w:footnoteReference w:id="2"/>
      </w:r>
      <w:r w:rsidRPr="00D050B0">
        <w:rPr>
          <w:rStyle w:val="Ninguno"/>
          <w:rFonts w:ascii="Times New Roman" w:hAnsi="Times New Roman"/>
          <w:sz w:val="28"/>
          <w:szCs w:val="28"/>
          <w:lang w:val="en-GB"/>
        </w:rPr>
        <w:t xml:space="preserve"> by which they could enter the Coalition Government.</w:t>
      </w:r>
    </w:p>
    <w:p w:rsidR="003B6932" w:rsidRDefault="003B6932" w:rsidP="003B6932">
      <w:pPr>
        <w:pStyle w:val="CuerpoAA"/>
        <w:tabs>
          <w:tab w:val="left" w:pos="720"/>
        </w:tabs>
        <w:spacing w:line="360" w:lineRule="auto"/>
        <w:contextualSpacing/>
        <w:jc w:val="both"/>
        <w:rPr>
          <w:rStyle w:val="Ninguno"/>
          <w:rFonts w:ascii="Times New Roman" w:hAnsi="Times New Roman"/>
          <w:sz w:val="28"/>
          <w:szCs w:val="28"/>
          <w:lang w:val="en-GB"/>
        </w:rPr>
      </w:pPr>
    </w:p>
    <w:p w:rsidR="003B6932" w:rsidRPr="00D050B0" w:rsidRDefault="003B6932" w:rsidP="003B6932">
      <w:pPr>
        <w:pStyle w:val="CuerpoAA"/>
        <w:tabs>
          <w:tab w:val="left" w:pos="720"/>
        </w:tabs>
        <w:spacing w:line="360" w:lineRule="auto"/>
        <w:contextualSpacing/>
        <w:jc w:val="both"/>
        <w:rPr>
          <w:rFonts w:ascii="Times New Roman" w:hAnsi="Times New Roman"/>
          <w:sz w:val="28"/>
          <w:szCs w:val="28"/>
          <w:lang w:val="en-GB"/>
        </w:rPr>
      </w:pPr>
      <w:r>
        <w:rPr>
          <w:rStyle w:val="Ninguno"/>
          <w:rFonts w:ascii="Times New Roman" w:hAnsi="Times New Roman"/>
          <w:sz w:val="28"/>
          <w:szCs w:val="28"/>
          <w:lang w:val="en-GB"/>
        </w:rPr>
        <w:t>[TNA, FO 371/75200]</w:t>
      </w:r>
    </w:p>
    <w:p w:rsidR="003B6932" w:rsidRDefault="003B6932" w:rsidP="003B6932">
      <w:pPr>
        <w:pStyle w:val="a"/>
        <w:tabs>
          <w:tab w:val="left" w:pos="720"/>
        </w:tabs>
        <w:spacing w:line="360" w:lineRule="auto"/>
        <w:contextualSpacing/>
        <w:rPr>
          <w:rStyle w:val="Ninguno"/>
          <w:rFonts w:ascii="Times New Roman" w:hAnsi="Times New Roman"/>
          <w:bCs/>
          <w:color w:val="auto"/>
          <w:sz w:val="28"/>
          <w:szCs w:val="28"/>
          <w:u w:color="FF2600"/>
          <w:lang w:val="en-GB"/>
        </w:rPr>
      </w:pPr>
      <w:r w:rsidRPr="00D050B0">
        <w:rPr>
          <w:rStyle w:val="Ninguno"/>
          <w:rFonts w:ascii="Times New Roman" w:hAnsi="Times New Roman"/>
          <w:bCs/>
          <w:color w:val="auto"/>
          <w:sz w:val="28"/>
          <w:szCs w:val="28"/>
          <w:u w:color="FF2600"/>
          <w:lang w:val="en-GB"/>
        </w:rPr>
        <w:t>Keywords: Post-war order, Inter-allied relations, United Nations, Post-war USSR, Post-war Middle East</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932" w:rsidRDefault="003B6932" w:rsidP="003B6932">
      <w:r>
        <w:separator/>
      </w:r>
    </w:p>
  </w:endnote>
  <w:endnote w:type="continuationSeparator" w:id="0">
    <w:p w:rsidR="003B6932" w:rsidRDefault="003B6932" w:rsidP="003B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932" w:rsidRDefault="003B6932" w:rsidP="003B6932">
      <w:r>
        <w:separator/>
      </w:r>
    </w:p>
  </w:footnote>
  <w:footnote w:type="continuationSeparator" w:id="0">
    <w:p w:rsidR="003B6932" w:rsidRDefault="003B6932" w:rsidP="003B6932">
      <w:r>
        <w:continuationSeparator/>
      </w:r>
    </w:p>
  </w:footnote>
  <w:footnote w:id="1">
    <w:p w:rsidR="003B6932" w:rsidRPr="00D57794" w:rsidRDefault="003B6932" w:rsidP="003B6932">
      <w:pPr>
        <w:rPr>
          <w:rFonts w:eastAsia="Times New Roman"/>
          <w:bdr w:val="none" w:sz="0" w:space="0" w:color="auto"/>
        </w:rPr>
      </w:pPr>
      <w:r w:rsidRPr="00A10120">
        <w:rPr>
          <w:rStyle w:val="FootnoteReference"/>
          <w:lang w:val="en-GB"/>
        </w:rPr>
        <w:footnoteRef/>
      </w:r>
      <w:r>
        <w:rPr>
          <w:lang w:val="en-GB"/>
        </w:rPr>
        <w:t xml:space="preserve"> F.O.R.D. - Foreign Office Research Division, contained different sections (</w:t>
      </w:r>
      <w:proofErr w:type="spellStart"/>
      <w:r>
        <w:rPr>
          <w:lang w:val="en-GB"/>
        </w:rPr>
        <w:t>eg</w:t>
      </w:r>
      <w:proofErr w:type="spellEnd"/>
      <w:r>
        <w:rPr>
          <w:lang w:val="en-GB"/>
        </w:rPr>
        <w:t xml:space="preserve">. German section), headed by Arnold Toynbee until 1946, then by E. James Passant until 1955. Sourced from Eckert, Astrid, </w:t>
      </w:r>
      <w:proofErr w:type="gramStart"/>
      <w:r>
        <w:rPr>
          <w:lang w:val="en-GB"/>
        </w:rPr>
        <w:t>The</w:t>
      </w:r>
      <w:proofErr w:type="gramEnd"/>
      <w:r>
        <w:rPr>
          <w:lang w:val="en-GB"/>
        </w:rPr>
        <w:t xml:space="preserve"> Struggle for the Files: </w:t>
      </w:r>
      <w:r>
        <w:rPr>
          <w:i/>
          <w:lang w:val="en-GB"/>
        </w:rPr>
        <w:t>The Western Allies and the Return of German Archives After the Second World War</w:t>
      </w:r>
      <w:r>
        <w:rPr>
          <w:lang w:val="en-GB"/>
        </w:rPr>
        <w:t xml:space="preserve"> (Cambridge: Cambridge University Press, 2014).</w:t>
      </w:r>
    </w:p>
    <w:p w:rsidR="003B6932" w:rsidRPr="00493CEC" w:rsidRDefault="003B6932" w:rsidP="003B6932">
      <w:pPr>
        <w:pStyle w:val="FootnoteText"/>
        <w:tabs>
          <w:tab w:val="left" w:pos="90"/>
          <w:tab w:val="left" w:pos="1845"/>
        </w:tabs>
        <w:spacing w:after="0" w:line="240" w:lineRule="auto"/>
        <w:contextualSpacing/>
        <w:rPr>
          <w:rFonts w:ascii="Times New Roman" w:hAnsi="Times New Roman"/>
          <w:i/>
          <w:lang w:val="en-GB"/>
        </w:rPr>
      </w:pPr>
      <w:r>
        <w:rPr>
          <w:rFonts w:ascii="Times New Roman" w:hAnsi="Times New Roman"/>
          <w:i/>
          <w:lang w:val="en-GB"/>
        </w:rPr>
        <w:tab/>
      </w:r>
      <w:r>
        <w:rPr>
          <w:rFonts w:ascii="Times New Roman" w:hAnsi="Times New Roman"/>
          <w:i/>
          <w:lang w:val="en-GB"/>
        </w:rPr>
        <w:tab/>
      </w:r>
    </w:p>
  </w:footnote>
  <w:footnote w:id="2">
    <w:p w:rsidR="003B6932" w:rsidRPr="00A10120" w:rsidRDefault="003B6932" w:rsidP="003B6932">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 xml:space="preserve">Ben-Gurion, David (born David Joseph </w:t>
      </w:r>
      <w:proofErr w:type="spellStart"/>
      <w:r w:rsidRPr="00A10120">
        <w:rPr>
          <w:rFonts w:ascii="Times New Roman" w:hAnsi="Times New Roman"/>
          <w:bCs/>
          <w:lang w:val="en-GB"/>
        </w:rPr>
        <w:t>Grün</w:t>
      </w:r>
      <w:proofErr w:type="spellEnd"/>
      <w:r w:rsidRPr="00A10120">
        <w:rPr>
          <w:rFonts w:ascii="Times New Roman" w:hAnsi="Times New Roman"/>
          <w:lang w:val="en-GB"/>
        </w:rPr>
        <w:t>, 1886-1973) – Israeli political figure, first Prime Minister of Israel (1948-1954, 1955-1963). He played one of the key roles in achieving independence for Israel.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32"/>
    <w:rsid w:val="000B0BBD"/>
    <w:rsid w:val="003B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A8A6C-410F-4701-89E2-044778C5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9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B6932"/>
    <w:rPr>
      <w:lang w:val="en-US"/>
    </w:rPr>
  </w:style>
  <w:style w:type="paragraph" w:styleId="FootnoteText">
    <w:name w:val="footnote text"/>
    <w:link w:val="FootnoteTextChar"/>
    <w:rsid w:val="003B6932"/>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3B6932"/>
    <w:rPr>
      <w:rFonts w:ascii="Calibri" w:eastAsia="Calibri" w:hAnsi="Calibri" w:cs="Calibri"/>
      <w:color w:val="000000"/>
      <w:sz w:val="20"/>
      <w:szCs w:val="20"/>
      <w:u w:color="000000"/>
      <w:bdr w:val="nil"/>
      <w:lang w:val="ru-RU"/>
    </w:rPr>
  </w:style>
  <w:style w:type="paragraph" w:customStyle="1" w:styleId="a">
    <w:name w:val="Базовый"/>
    <w:rsid w:val="003B6932"/>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paragraph" w:customStyle="1" w:styleId="CuerpoAA">
    <w:name w:val="Cuerpo A A"/>
    <w:rsid w:val="003B693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styleId="FootnoteReference">
    <w:name w:val="footnote reference"/>
    <w:basedOn w:val="DefaultParagraphFont"/>
    <w:uiPriority w:val="99"/>
    <w:unhideWhenUsed/>
    <w:rsid w:val="003B6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2016-07-12T08:52:00Z</dcterms:created>
  <dcterms:modified xsi:type="dcterms:W3CDTF">2016-07-12T08:53:00Z</dcterms:modified>
</cp:coreProperties>
</file>