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63" w:rsidRDefault="003D7363" w:rsidP="003D736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Note by the Foreign Secretary, E. Bevin, to the Cabinet on the possible impact of the Italian elections on the Trieste issue, dated 15 April 1948</w:t>
      </w:r>
    </w:p>
    <w:p w:rsidR="003D7363" w:rsidRDefault="003D7363" w:rsidP="003D7363">
      <w:pPr>
        <w:pStyle w:val="CuerpoB"/>
        <w:spacing w:line="360" w:lineRule="auto"/>
        <w:rPr>
          <w:rFonts w:ascii="Times New Roman" w:eastAsia="Times New Roman" w:hAnsi="Times New Roman" w:cs="Times New Roman"/>
          <w:b/>
          <w:bCs/>
          <w:sz w:val="28"/>
          <w:szCs w:val="28"/>
        </w:rPr>
      </w:pPr>
      <w:bookmarkStart w:id="0" w:name="_GoBack"/>
      <w:bookmarkEnd w:id="0"/>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TRIESTE - POSSIBLE SITUATIONS RESULTING FOR THE ITALIAN ELECTIONS ON 18</w:t>
      </w:r>
      <w:r>
        <w:rPr>
          <w:rStyle w:val="Ninguno"/>
          <w:rFonts w:ascii="Times New Roman" w:hAnsi="Times New Roman"/>
          <w:sz w:val="28"/>
          <w:szCs w:val="28"/>
          <w:u w:val="single"/>
          <w:vertAlign w:val="superscript"/>
        </w:rPr>
        <w:t>TH</w:t>
      </w:r>
      <w:r>
        <w:rPr>
          <w:rStyle w:val="Ninguno"/>
          <w:rFonts w:ascii="Times New Roman" w:hAnsi="Times New Roman"/>
          <w:sz w:val="28"/>
          <w:szCs w:val="28"/>
          <w:u w:val="single"/>
        </w:rPr>
        <w:t xml:space="preserve"> APRIL 1948</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NOTE BY THE SECRETARY</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D7363" w:rsidRDefault="003D7363" w:rsidP="003D736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w:t>
      </w:r>
    </w:p>
    <w:p w:rsidR="003D7363" w:rsidRDefault="003D7363" w:rsidP="003D7363">
      <w:pPr>
        <w:pStyle w:val="CuerpoB"/>
        <w:spacing w:line="360" w:lineRule="auto"/>
        <w:ind w:left="708"/>
        <w:rPr>
          <w:rStyle w:val="Ninguno"/>
          <w:rFonts w:ascii="Times New Roman" w:eastAsia="Times New Roman" w:hAnsi="Times New Roman" w:cs="Times New Roman"/>
          <w:sz w:val="28"/>
          <w:szCs w:val="28"/>
          <w:u w:val="single"/>
        </w:rPr>
      </w:pPr>
      <w:r>
        <w:rPr>
          <w:rStyle w:val="Ninguno"/>
          <w:rFonts w:ascii="Times New Roman" w:hAnsi="Times New Roman"/>
          <w:sz w:val="28"/>
          <w:szCs w:val="28"/>
        </w:rPr>
        <w:t xml:space="preserve">(a) </w:t>
      </w:r>
      <w:r>
        <w:rPr>
          <w:rStyle w:val="Ninguno"/>
          <w:rFonts w:ascii="Times New Roman" w:hAnsi="Times New Roman"/>
          <w:sz w:val="28"/>
          <w:szCs w:val="28"/>
          <w:u w:val="single"/>
        </w:rPr>
        <w:t>Peaceful take-over of power by the Communists (para 4(a))</w:t>
      </w:r>
    </w:p>
    <w:p w:rsidR="003D7363" w:rsidRDefault="003D7363" w:rsidP="003D7363">
      <w:pPr>
        <w:pStyle w:val="CuerpoB"/>
        <w:spacing w:line="360" w:lineRule="auto"/>
        <w:ind w:firstLine="708"/>
        <w:rPr>
          <w:rStyle w:val="Ninguno"/>
          <w:rFonts w:ascii="Times New Roman" w:eastAsia="Times New Roman" w:hAnsi="Times New Roman" w:cs="Times New Roman"/>
          <w:sz w:val="28"/>
          <w:szCs w:val="28"/>
        </w:rPr>
      </w:pPr>
      <w:r>
        <w:rPr>
          <w:rStyle w:val="Ninguno"/>
          <w:rFonts w:ascii="Times New Roman" w:hAnsi="Times New Roman"/>
          <w:sz w:val="28"/>
          <w:szCs w:val="28"/>
        </w:rPr>
        <w:t>On the one hand it is probable that an early agreement on the TRIESTE problem would be concluded between the Governments of ITALY and JUGOSLAVIA [sic].</w:t>
      </w:r>
    </w:p>
    <w:p w:rsidR="003D7363" w:rsidRDefault="003D7363" w:rsidP="003D736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sequence of events in the FTT</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following such a bilateral agreement will depend largely on the attitude taken by the Western Powers; but what this will be does not come within the scope of this paper. Immediately following the announcement of such an agreement it may be anticipated that the political situation with the Zone will be pitched in a very minor key, with the anti-Communist Italian parties completely deflated, while the Slav-controlled elements may well maintain an attitude of restraint and ordered discipline. </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D7363" w:rsidRDefault="003D7363" w:rsidP="003D736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appears likely that the </w:t>
      </w:r>
      <w:proofErr w:type="spellStart"/>
      <w:r>
        <w:rPr>
          <w:rStyle w:val="Ninguno"/>
          <w:rFonts w:ascii="Times New Roman" w:hAnsi="Times New Roman"/>
          <w:sz w:val="28"/>
          <w:szCs w:val="28"/>
        </w:rPr>
        <w:t>Cominform</w:t>
      </w:r>
      <w:proofErr w:type="spellEnd"/>
      <w:r>
        <w:rPr>
          <w:rStyle w:val="Ninguno"/>
          <w:rFonts w:ascii="Times New Roman" w:hAnsi="Times New Roman"/>
          <w:sz w:val="28"/>
          <w:szCs w:val="28"/>
        </w:rPr>
        <w:t xml:space="preserve"> will direct that no time be lost in </w:t>
      </w:r>
      <w:proofErr w:type="spellStart"/>
      <w:r>
        <w:rPr>
          <w:rStyle w:val="Ninguno"/>
          <w:rFonts w:ascii="Times New Roman" w:hAnsi="Times New Roman"/>
          <w:sz w:val="28"/>
          <w:szCs w:val="28"/>
        </w:rPr>
        <w:t>endeavouring</w:t>
      </w:r>
      <w:proofErr w:type="spellEnd"/>
      <w:r>
        <w:rPr>
          <w:rStyle w:val="Ninguno"/>
          <w:rFonts w:ascii="Times New Roman" w:hAnsi="Times New Roman"/>
          <w:sz w:val="28"/>
          <w:szCs w:val="28"/>
        </w:rPr>
        <w:t xml:space="preserve"> to make the Anglo-American position in the Zone impossible. For this the elaborate Slav-controlled Communist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will be used to the full, probably strengthened by the importation of highly trained leaders from JUGOSLAVIA. </w:t>
      </w:r>
    </w:p>
    <w:p w:rsidR="003D7363" w:rsidRDefault="003D7363" w:rsidP="003D736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This policy of stirring up disorder in the Zone may well be carried so far as to involve the complete boycott of the Zone by both ITALY and JUGOSLAVIA. </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D7363" w:rsidRDefault="003D7363" w:rsidP="003D736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such an event the situation, both politically and economically, is likely to develop on similar lines to that envisaged in para 7 (c) above; though from the economic standpoint the position may be worsened due to the deliberate closing of the frontiers of the Territory, the repudiation of the existing currency, financial and foreign exchange agreements, and the refusal to supply the Territory with any electricity. </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D7363" w:rsidRDefault="003D7363" w:rsidP="003D736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other hand it may be anticipated that should there be no ITALO-JUGOSLAV Agreement on TRIESTE the anti-Allied Military Government attitude of the Communist controlled Italian Government will take the form of a gradually hardening policy towards the Zone, beginning with the practical denial of funds and raw material. The effects of such a policy in the last analysis will approximate to an accelerated disturbance of the Zone, already envisaged, the only difference being that there would be more time for the Western Allies to implement plans to meet this situation.</w:t>
      </w:r>
    </w:p>
    <w:p w:rsidR="003D7363" w:rsidRDefault="003D7363" w:rsidP="003D736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D7363" w:rsidRDefault="003D7363" w:rsidP="003D736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Economic implications of the foregoing situations are fully outlined in Appendix “A” attached. </w:t>
      </w:r>
    </w:p>
    <w:p w:rsidR="003D7363" w:rsidRDefault="003D7363" w:rsidP="003D7363">
      <w:pPr>
        <w:pStyle w:val="CuerpoB"/>
        <w:spacing w:line="360" w:lineRule="auto"/>
        <w:ind w:firstLine="708"/>
        <w:rPr>
          <w:rFonts w:ascii="Times New Roman" w:eastAsia="Times New Roman" w:hAnsi="Times New Roman" w:cs="Times New Roman"/>
          <w:sz w:val="28"/>
          <w:szCs w:val="28"/>
        </w:rPr>
      </w:pPr>
    </w:p>
    <w:p w:rsidR="003D7363" w:rsidRDefault="003D7363" w:rsidP="003D7363">
      <w:pPr>
        <w:pStyle w:val="CuerpoA"/>
        <w:spacing w:after="200" w:line="360" w:lineRule="auto"/>
        <w:rPr>
          <w:rStyle w:val="Ninguno"/>
          <w:sz w:val="28"/>
          <w:szCs w:val="28"/>
        </w:rPr>
      </w:pPr>
      <w:r>
        <w:rPr>
          <w:rStyle w:val="Ninguno"/>
          <w:sz w:val="28"/>
          <w:szCs w:val="28"/>
        </w:rPr>
        <w:t>[TNA, CAB 121/612/88]</w:t>
      </w:r>
    </w:p>
    <w:p w:rsidR="003D7363" w:rsidRDefault="003D7363" w:rsidP="003D7363">
      <w:pPr>
        <w:pStyle w:val="CuerpoA"/>
        <w:spacing w:after="200" w:line="360" w:lineRule="auto"/>
        <w:rPr>
          <w:rStyle w:val="Ninguno"/>
          <w:sz w:val="28"/>
          <w:szCs w:val="28"/>
        </w:rPr>
      </w:pPr>
      <w:r>
        <w:rPr>
          <w:rStyle w:val="Ninguno"/>
          <w:sz w:val="28"/>
          <w:szCs w:val="28"/>
        </w:rPr>
        <w:t>Keywords: Italy, Yugoslavia, great power relations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63" w:rsidRDefault="003D7363" w:rsidP="003D7363">
      <w:pPr>
        <w:spacing w:after="0" w:line="240" w:lineRule="auto"/>
      </w:pPr>
      <w:r>
        <w:separator/>
      </w:r>
    </w:p>
  </w:endnote>
  <w:endnote w:type="continuationSeparator" w:id="0">
    <w:p w:rsidR="003D7363" w:rsidRDefault="003D7363" w:rsidP="003D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63" w:rsidRDefault="003D7363" w:rsidP="003D7363">
      <w:pPr>
        <w:spacing w:after="0" w:line="240" w:lineRule="auto"/>
      </w:pPr>
      <w:r>
        <w:separator/>
      </w:r>
    </w:p>
  </w:footnote>
  <w:footnote w:type="continuationSeparator" w:id="0">
    <w:p w:rsidR="003D7363" w:rsidRDefault="003D7363" w:rsidP="003D7363">
      <w:pPr>
        <w:spacing w:after="0" w:line="240" w:lineRule="auto"/>
      </w:pPr>
      <w:r>
        <w:continuationSeparator/>
      </w:r>
    </w:p>
  </w:footnote>
  <w:footnote w:id="1">
    <w:p w:rsidR="003D7363" w:rsidRDefault="003D7363" w:rsidP="003D7363">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FTT - Free Territory of Trieste.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63"/>
    <w:rsid w:val="003D7363"/>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11E67-0BB7-421F-B1AF-110D9F3D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D7363"/>
  </w:style>
  <w:style w:type="paragraph" w:customStyle="1" w:styleId="CuerpoA">
    <w:name w:val="Cuerpo A"/>
    <w:rsid w:val="003D736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3D736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2016-07-12T15:41:00Z</dcterms:created>
  <dcterms:modified xsi:type="dcterms:W3CDTF">2016-07-12T15:41:00Z</dcterms:modified>
</cp:coreProperties>
</file>