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FE8" w:rsidRPr="00272BDD" w:rsidRDefault="00760FE8" w:rsidP="00272BDD">
      <w:pPr>
        <w:pStyle w:val="Title"/>
        <w:jc w:val="center"/>
        <w:rPr>
          <w:rStyle w:val="Emphasis"/>
          <w:i w:val="0"/>
          <w:iCs w:val="0"/>
          <w:szCs w:val="25"/>
        </w:rPr>
      </w:pPr>
      <w:r w:rsidRPr="00272BDD">
        <w:rPr>
          <w:rStyle w:val="Emphasis"/>
          <w:i w:val="0"/>
          <w:iCs w:val="0"/>
          <w:szCs w:val="25"/>
        </w:rPr>
        <w:t>Achieving Financial Sector Policy Objectives through Financial Technology</w:t>
      </w:r>
    </w:p>
    <w:p w:rsidR="00272BDD" w:rsidRDefault="00760FE8" w:rsidP="00272BDD">
      <w:pPr>
        <w:pStyle w:val="Subtitle"/>
        <w:jc w:val="center"/>
      </w:pPr>
      <w:r>
        <w:t>Notes for talk at London School of Economics Financial Regulation Seminar,</w:t>
      </w:r>
    </w:p>
    <w:p w:rsidR="00760FE8" w:rsidRDefault="00272BDD" w:rsidP="00272BDD">
      <w:pPr>
        <w:pStyle w:val="Subtitle"/>
        <w:jc w:val="center"/>
      </w:pPr>
      <w:r>
        <w:t xml:space="preserve">Alistair Milne </w:t>
      </w:r>
      <w:r w:rsidR="00760FE8">
        <w:t>29</w:t>
      </w:r>
      <w:r w:rsidR="00760FE8" w:rsidRPr="00760FE8">
        <w:rPr>
          <w:vertAlign w:val="superscript"/>
        </w:rPr>
        <w:t>th</w:t>
      </w:r>
      <w:r w:rsidR="00760FE8">
        <w:t xml:space="preserve"> February 2016</w:t>
      </w:r>
    </w:p>
    <w:p w:rsidR="00272BDD" w:rsidRPr="00546106" w:rsidRDefault="001B7411" w:rsidP="00546106">
      <w:pPr>
        <w:spacing w:after="0" w:line="240" w:lineRule="auto"/>
        <w:rPr>
          <w:sz w:val="28"/>
          <w:szCs w:val="28"/>
        </w:rPr>
      </w:pPr>
      <w:proofErr w:type="gramStart"/>
      <w:r w:rsidRPr="00546106">
        <w:rPr>
          <w:sz w:val="28"/>
          <w:szCs w:val="28"/>
        </w:rPr>
        <w:t>Preliminary observation.</w:t>
      </w:r>
      <w:proofErr w:type="gramEnd"/>
      <w:r w:rsidRPr="00546106">
        <w:rPr>
          <w:sz w:val="28"/>
          <w:szCs w:val="28"/>
        </w:rPr>
        <w:t xml:space="preserve"> Our financial arrangements are always technology dependent </w:t>
      </w:r>
      <w:r w:rsidR="000244EA">
        <w:rPr>
          <w:sz w:val="28"/>
          <w:szCs w:val="28"/>
        </w:rPr>
        <w:t>(</w:t>
      </w:r>
      <w:r w:rsidRPr="00546106">
        <w:rPr>
          <w:sz w:val="28"/>
          <w:szCs w:val="28"/>
        </w:rPr>
        <w:t xml:space="preserve">e.g. </w:t>
      </w:r>
      <w:r w:rsidR="00546106" w:rsidRPr="00546106">
        <w:rPr>
          <w:sz w:val="28"/>
          <w:szCs w:val="28"/>
        </w:rPr>
        <w:t>the widespread use of banknotes depending</w:t>
      </w:r>
      <w:r w:rsidRPr="00546106">
        <w:rPr>
          <w:sz w:val="28"/>
          <w:szCs w:val="28"/>
        </w:rPr>
        <w:t xml:space="preserve"> </w:t>
      </w:r>
      <w:r w:rsidR="0063777A" w:rsidRPr="00546106">
        <w:rPr>
          <w:sz w:val="28"/>
          <w:szCs w:val="28"/>
        </w:rPr>
        <w:t>on pr</w:t>
      </w:r>
      <w:r w:rsidR="00546106" w:rsidRPr="00546106">
        <w:rPr>
          <w:sz w:val="28"/>
          <w:szCs w:val="28"/>
        </w:rPr>
        <w:t>i</w:t>
      </w:r>
      <w:r w:rsidR="00546106">
        <w:rPr>
          <w:sz w:val="28"/>
          <w:szCs w:val="28"/>
        </w:rPr>
        <w:t>nting technologies, the rise of point of sale and now contactless card payments</w:t>
      </w:r>
      <w:r w:rsidR="000244EA">
        <w:rPr>
          <w:sz w:val="28"/>
          <w:szCs w:val="28"/>
        </w:rPr>
        <w:t>), b</w:t>
      </w:r>
      <w:r w:rsidR="00546106">
        <w:rPr>
          <w:sz w:val="28"/>
          <w:szCs w:val="28"/>
        </w:rPr>
        <w:t>ut also institution dependent (mobile to</w:t>
      </w:r>
      <w:r w:rsidR="000244EA">
        <w:rPr>
          <w:sz w:val="28"/>
          <w:szCs w:val="28"/>
        </w:rPr>
        <w:t xml:space="preserve"> </w:t>
      </w:r>
      <w:r w:rsidR="00546106">
        <w:rPr>
          <w:sz w:val="28"/>
          <w:szCs w:val="28"/>
        </w:rPr>
        <w:t>mobile in Kenya but not UK)</w:t>
      </w:r>
    </w:p>
    <w:p w:rsidR="00760FE8" w:rsidRPr="00546106" w:rsidRDefault="00760FE8" w:rsidP="00272BDD">
      <w:pPr>
        <w:pStyle w:val="Heading1"/>
        <w:rPr>
          <w:color w:val="auto"/>
          <w:sz w:val="40"/>
        </w:rPr>
      </w:pPr>
      <w:r w:rsidRPr="00546106">
        <w:rPr>
          <w:color w:val="auto"/>
          <w:sz w:val="40"/>
        </w:rPr>
        <w:t>The growing interest in Financial Technology</w:t>
      </w:r>
    </w:p>
    <w:p w:rsidR="00760FE8" w:rsidRPr="00546106" w:rsidRDefault="00760FE8" w:rsidP="00546106">
      <w:pPr>
        <w:pStyle w:val="Heading2"/>
        <w:spacing w:before="0"/>
        <w:ind w:firstLine="720"/>
        <w:rPr>
          <w:b w:val="0"/>
          <w:color w:val="auto"/>
          <w:sz w:val="36"/>
        </w:rPr>
      </w:pPr>
      <w:r w:rsidRPr="00546106">
        <w:rPr>
          <w:b w:val="0"/>
          <w:color w:val="auto"/>
          <w:sz w:val="36"/>
        </w:rPr>
        <w:t>The emerging ‘</w:t>
      </w:r>
      <w:proofErr w:type="spellStart"/>
      <w:r w:rsidRPr="00546106">
        <w:rPr>
          <w:b w:val="0"/>
          <w:color w:val="auto"/>
          <w:sz w:val="36"/>
        </w:rPr>
        <w:t>FinTech</w:t>
      </w:r>
      <w:proofErr w:type="spellEnd"/>
      <w:r w:rsidRPr="00546106">
        <w:rPr>
          <w:b w:val="0"/>
          <w:color w:val="auto"/>
          <w:sz w:val="36"/>
        </w:rPr>
        <w:t>’ industry</w:t>
      </w:r>
    </w:p>
    <w:p w:rsidR="00760FE8" w:rsidRPr="00546106" w:rsidRDefault="00760FE8" w:rsidP="00546106">
      <w:pPr>
        <w:pStyle w:val="Heading2"/>
        <w:spacing w:before="0"/>
        <w:ind w:firstLine="720"/>
        <w:rPr>
          <w:b w:val="0"/>
          <w:color w:val="auto"/>
          <w:sz w:val="36"/>
        </w:rPr>
      </w:pPr>
      <w:proofErr w:type="spellStart"/>
      <w:r w:rsidRPr="00546106">
        <w:rPr>
          <w:b w:val="0"/>
          <w:color w:val="auto"/>
          <w:sz w:val="36"/>
        </w:rPr>
        <w:t>Bitcoin</w:t>
      </w:r>
      <w:proofErr w:type="spellEnd"/>
      <w:r w:rsidRPr="00546106">
        <w:rPr>
          <w:b w:val="0"/>
          <w:color w:val="auto"/>
          <w:sz w:val="36"/>
        </w:rPr>
        <w:t xml:space="preserve"> and </w:t>
      </w:r>
      <w:proofErr w:type="spellStart"/>
      <w:r w:rsidRPr="00546106">
        <w:rPr>
          <w:b w:val="0"/>
          <w:color w:val="auto"/>
          <w:sz w:val="36"/>
        </w:rPr>
        <w:t>blockchain</w:t>
      </w:r>
      <w:proofErr w:type="spellEnd"/>
    </w:p>
    <w:p w:rsidR="00272BDD" w:rsidRPr="00546106" w:rsidRDefault="000F0759" w:rsidP="00546106">
      <w:pPr>
        <w:spacing w:after="0" w:line="240" w:lineRule="auto"/>
        <w:ind w:left="1440"/>
        <w:rPr>
          <w:sz w:val="28"/>
          <w:szCs w:val="28"/>
        </w:rPr>
      </w:pPr>
      <w:r w:rsidRPr="00546106">
        <w:rPr>
          <w:sz w:val="28"/>
          <w:szCs w:val="28"/>
        </w:rPr>
        <w:t xml:space="preserve">Cryptography and </w:t>
      </w:r>
      <w:r w:rsidR="00CE35CC" w:rsidRPr="00546106">
        <w:rPr>
          <w:sz w:val="28"/>
          <w:szCs w:val="28"/>
        </w:rPr>
        <w:t xml:space="preserve">‘digital signatures’, </w:t>
      </w:r>
      <w:r w:rsidR="00272BDD" w:rsidRPr="00546106">
        <w:rPr>
          <w:b/>
          <w:sz w:val="28"/>
          <w:szCs w:val="28"/>
        </w:rPr>
        <w:t xml:space="preserve">the </w:t>
      </w:r>
      <w:r w:rsidR="00CE35CC" w:rsidRPr="00546106">
        <w:rPr>
          <w:sz w:val="28"/>
          <w:szCs w:val="28"/>
        </w:rPr>
        <w:t xml:space="preserve">electronic equivalent of </w:t>
      </w:r>
      <w:proofErr w:type="gramStart"/>
      <w:r w:rsidR="00CE35CC" w:rsidRPr="00546106">
        <w:rPr>
          <w:sz w:val="28"/>
          <w:szCs w:val="28"/>
        </w:rPr>
        <w:t xml:space="preserve">the </w:t>
      </w:r>
      <w:r w:rsidR="00272BDD" w:rsidRPr="00546106">
        <w:rPr>
          <w:b/>
          <w:sz w:val="28"/>
          <w:szCs w:val="28"/>
        </w:rPr>
        <w:t xml:space="preserve"> b</w:t>
      </w:r>
      <w:r w:rsidR="00CE35CC" w:rsidRPr="00546106">
        <w:rPr>
          <w:sz w:val="28"/>
          <w:szCs w:val="28"/>
        </w:rPr>
        <w:t>earer</w:t>
      </w:r>
      <w:proofErr w:type="gramEnd"/>
      <w:r w:rsidR="00CE35CC" w:rsidRPr="00546106">
        <w:rPr>
          <w:sz w:val="28"/>
          <w:szCs w:val="28"/>
        </w:rPr>
        <w:t xml:space="preserve"> bond</w:t>
      </w:r>
    </w:p>
    <w:p w:rsidR="00760FE8" w:rsidRPr="00546106" w:rsidRDefault="00760FE8" w:rsidP="00272BDD">
      <w:pPr>
        <w:pStyle w:val="Heading1"/>
        <w:rPr>
          <w:color w:val="auto"/>
          <w:sz w:val="40"/>
        </w:rPr>
      </w:pPr>
      <w:r w:rsidRPr="00546106">
        <w:rPr>
          <w:color w:val="auto"/>
          <w:sz w:val="40"/>
        </w:rPr>
        <w:t>Visions</w:t>
      </w:r>
    </w:p>
    <w:p w:rsidR="0063777A" w:rsidRPr="00272BDD" w:rsidRDefault="0063777A" w:rsidP="00546106">
      <w:pPr>
        <w:pStyle w:val="Heading2"/>
        <w:spacing w:before="0"/>
        <w:ind w:left="720"/>
        <w:rPr>
          <w:b w:val="0"/>
          <w:color w:val="auto"/>
          <w:sz w:val="36"/>
        </w:rPr>
      </w:pPr>
      <w:r w:rsidRPr="00272BDD">
        <w:rPr>
          <w:b w:val="0"/>
          <w:color w:val="auto"/>
          <w:sz w:val="36"/>
        </w:rPr>
        <w:t>Low cost rapid automated processing</w:t>
      </w:r>
    </w:p>
    <w:p w:rsidR="0063777A" w:rsidRPr="00546106" w:rsidRDefault="0063777A" w:rsidP="00546106">
      <w:pPr>
        <w:spacing w:after="0" w:line="240" w:lineRule="auto"/>
        <w:ind w:left="1440"/>
        <w:rPr>
          <w:sz w:val="28"/>
          <w:szCs w:val="28"/>
        </w:rPr>
      </w:pPr>
      <w:r w:rsidRPr="00546106">
        <w:rPr>
          <w:sz w:val="28"/>
          <w:szCs w:val="28"/>
        </w:rPr>
        <w:t>Global capital markets alone $40-$45bn per annum securities processing costs</w:t>
      </w:r>
    </w:p>
    <w:p w:rsidR="00760FE8" w:rsidRPr="00272BDD" w:rsidRDefault="001B7411" w:rsidP="00546106">
      <w:pPr>
        <w:pStyle w:val="Heading2"/>
        <w:spacing w:before="0"/>
        <w:ind w:left="720"/>
        <w:rPr>
          <w:b w:val="0"/>
          <w:color w:val="auto"/>
          <w:sz w:val="36"/>
        </w:rPr>
      </w:pPr>
      <w:r w:rsidRPr="00272BDD">
        <w:rPr>
          <w:b w:val="0"/>
          <w:color w:val="auto"/>
          <w:sz w:val="36"/>
        </w:rPr>
        <w:t>C</w:t>
      </w:r>
      <w:r w:rsidR="00760FE8" w:rsidRPr="00272BDD">
        <w:rPr>
          <w:b w:val="0"/>
          <w:color w:val="auto"/>
          <w:sz w:val="36"/>
        </w:rPr>
        <w:t>ompetitive markets</w:t>
      </w:r>
      <w:r w:rsidRPr="00272BDD">
        <w:rPr>
          <w:b w:val="0"/>
          <w:color w:val="auto"/>
          <w:sz w:val="36"/>
        </w:rPr>
        <w:t xml:space="preserve"> </w:t>
      </w:r>
    </w:p>
    <w:p w:rsidR="001B7411" w:rsidRPr="00546106" w:rsidRDefault="00CE35CC" w:rsidP="00546106">
      <w:pPr>
        <w:spacing w:after="0" w:line="240" w:lineRule="auto"/>
        <w:ind w:left="1440"/>
        <w:rPr>
          <w:sz w:val="28"/>
          <w:szCs w:val="28"/>
        </w:rPr>
      </w:pPr>
      <w:r w:rsidRPr="00546106">
        <w:rPr>
          <w:sz w:val="28"/>
          <w:szCs w:val="28"/>
        </w:rPr>
        <w:t xml:space="preserve">Standardisation is </w:t>
      </w:r>
      <w:proofErr w:type="gramStart"/>
      <w:r w:rsidRPr="00546106">
        <w:rPr>
          <w:sz w:val="28"/>
          <w:szCs w:val="28"/>
        </w:rPr>
        <w:t>key</w:t>
      </w:r>
      <w:proofErr w:type="gramEnd"/>
    </w:p>
    <w:p w:rsidR="00CE35CC" w:rsidRPr="00546106" w:rsidRDefault="000244EA" w:rsidP="00546106">
      <w:pPr>
        <w:spacing w:after="0" w:line="240" w:lineRule="auto"/>
        <w:ind w:left="1440"/>
        <w:rPr>
          <w:sz w:val="28"/>
          <w:szCs w:val="28"/>
        </w:rPr>
      </w:pPr>
      <w:proofErr w:type="gramStart"/>
      <w:r>
        <w:rPr>
          <w:sz w:val="28"/>
          <w:szCs w:val="28"/>
        </w:rPr>
        <w:t>e.g</w:t>
      </w:r>
      <w:proofErr w:type="gramEnd"/>
      <w:r>
        <w:rPr>
          <w:sz w:val="28"/>
          <w:szCs w:val="28"/>
        </w:rPr>
        <w:t xml:space="preserve">. UK </w:t>
      </w:r>
      <w:r w:rsidR="00CE35CC" w:rsidRPr="00546106">
        <w:rPr>
          <w:sz w:val="28"/>
          <w:szCs w:val="28"/>
        </w:rPr>
        <w:t>APIs (Application programming interfaces) for SME banking data</w:t>
      </w:r>
    </w:p>
    <w:p w:rsidR="001B7411" w:rsidRPr="00272BDD" w:rsidRDefault="001B7411" w:rsidP="00546106">
      <w:pPr>
        <w:pStyle w:val="Heading2"/>
        <w:spacing w:before="0"/>
        <w:ind w:left="720"/>
        <w:rPr>
          <w:b w:val="0"/>
          <w:color w:val="auto"/>
          <w:sz w:val="36"/>
        </w:rPr>
      </w:pPr>
      <w:r w:rsidRPr="00272BDD">
        <w:rPr>
          <w:b w:val="0"/>
          <w:color w:val="auto"/>
          <w:sz w:val="36"/>
        </w:rPr>
        <w:t>Banks as platforms, bringing together</w:t>
      </w:r>
      <w:r w:rsidR="0063777A" w:rsidRPr="00272BDD">
        <w:rPr>
          <w:b w:val="0"/>
          <w:color w:val="auto"/>
          <w:sz w:val="36"/>
        </w:rPr>
        <w:t xml:space="preserve"> savers/ borrowers without taking risks</w:t>
      </w:r>
    </w:p>
    <w:p w:rsidR="00CE35CC" w:rsidRPr="00546106" w:rsidRDefault="00CE35CC" w:rsidP="00546106">
      <w:pPr>
        <w:spacing w:after="0" w:line="240" w:lineRule="auto"/>
        <w:ind w:left="1440"/>
        <w:rPr>
          <w:sz w:val="28"/>
          <w:szCs w:val="28"/>
        </w:rPr>
      </w:pPr>
      <w:r w:rsidRPr="00546106">
        <w:rPr>
          <w:sz w:val="28"/>
          <w:szCs w:val="28"/>
        </w:rPr>
        <w:t>Peer-to-peer lending</w:t>
      </w:r>
    </w:p>
    <w:p w:rsidR="001B7411" w:rsidRPr="00272BDD" w:rsidRDefault="000F0759" w:rsidP="00546106">
      <w:pPr>
        <w:pStyle w:val="Heading2"/>
        <w:spacing w:before="0"/>
        <w:ind w:left="720"/>
        <w:rPr>
          <w:b w:val="0"/>
          <w:color w:val="auto"/>
          <w:sz w:val="36"/>
        </w:rPr>
      </w:pPr>
      <w:proofErr w:type="gramStart"/>
      <w:r w:rsidRPr="00272BDD">
        <w:rPr>
          <w:b w:val="0"/>
          <w:color w:val="auto"/>
          <w:sz w:val="36"/>
        </w:rPr>
        <w:lastRenderedPageBreak/>
        <w:t>Direct transaction</w:t>
      </w:r>
      <w:r w:rsidR="000244EA">
        <w:rPr>
          <w:b w:val="0"/>
          <w:color w:val="auto"/>
          <w:sz w:val="36"/>
        </w:rPr>
        <w:t>s</w:t>
      </w:r>
      <w:r w:rsidRPr="00272BDD">
        <w:rPr>
          <w:b w:val="0"/>
          <w:color w:val="auto"/>
          <w:sz w:val="36"/>
        </w:rPr>
        <w:t xml:space="preserve"> in central bank money</w:t>
      </w:r>
      <w:r w:rsidR="00272BDD" w:rsidRPr="00272BDD">
        <w:rPr>
          <w:b w:val="0"/>
          <w:color w:val="auto"/>
          <w:sz w:val="36"/>
        </w:rPr>
        <w:t>?</w:t>
      </w:r>
      <w:proofErr w:type="gramEnd"/>
    </w:p>
    <w:p w:rsidR="00546106" w:rsidRDefault="000F0759" w:rsidP="00546106">
      <w:pPr>
        <w:pStyle w:val="Heading2"/>
        <w:spacing w:before="0"/>
        <w:ind w:left="720"/>
        <w:rPr>
          <w:b w:val="0"/>
          <w:color w:val="auto"/>
          <w:sz w:val="36"/>
        </w:rPr>
      </w:pPr>
      <w:r w:rsidRPr="00272BDD">
        <w:rPr>
          <w:b w:val="0"/>
          <w:color w:val="auto"/>
          <w:sz w:val="36"/>
        </w:rPr>
        <w:t xml:space="preserve">Digital </w:t>
      </w:r>
      <w:r w:rsidR="00546106">
        <w:rPr>
          <w:b w:val="0"/>
          <w:color w:val="auto"/>
          <w:sz w:val="36"/>
        </w:rPr>
        <w:t>transformation of the industry</w:t>
      </w:r>
    </w:p>
    <w:p w:rsidR="000F0759" w:rsidRPr="00546106" w:rsidRDefault="00CE35CC" w:rsidP="00546106">
      <w:pPr>
        <w:spacing w:after="0" w:line="240" w:lineRule="auto"/>
        <w:ind w:left="1440"/>
        <w:rPr>
          <w:sz w:val="28"/>
          <w:szCs w:val="28"/>
        </w:rPr>
      </w:pPr>
      <w:proofErr w:type="gramStart"/>
      <w:r w:rsidRPr="00546106">
        <w:rPr>
          <w:sz w:val="28"/>
          <w:szCs w:val="28"/>
        </w:rPr>
        <w:t>promoting</w:t>
      </w:r>
      <w:proofErr w:type="gramEnd"/>
      <w:r w:rsidRPr="00546106">
        <w:rPr>
          <w:sz w:val="28"/>
          <w:szCs w:val="28"/>
        </w:rPr>
        <w:t xml:space="preserve"> efficiency, crossing borders, </w:t>
      </w:r>
      <w:r w:rsidR="000F0759" w:rsidRPr="00546106">
        <w:rPr>
          <w:sz w:val="28"/>
          <w:szCs w:val="28"/>
        </w:rPr>
        <w:t xml:space="preserve">extending to many </w:t>
      </w:r>
      <w:r w:rsidRPr="00546106">
        <w:rPr>
          <w:sz w:val="28"/>
          <w:szCs w:val="28"/>
        </w:rPr>
        <w:t xml:space="preserve">currently </w:t>
      </w:r>
      <w:proofErr w:type="spellStart"/>
      <w:r w:rsidR="000F0759" w:rsidRPr="00546106">
        <w:rPr>
          <w:sz w:val="28"/>
          <w:szCs w:val="28"/>
        </w:rPr>
        <w:t>unserved</w:t>
      </w:r>
      <w:proofErr w:type="spellEnd"/>
      <w:r w:rsidR="000F0759" w:rsidRPr="00546106">
        <w:rPr>
          <w:sz w:val="28"/>
          <w:szCs w:val="28"/>
        </w:rPr>
        <w:t xml:space="preserve"> customers</w:t>
      </w:r>
    </w:p>
    <w:p w:rsidR="00760FE8" w:rsidRPr="00546106" w:rsidRDefault="00760FE8" w:rsidP="00760FE8">
      <w:pPr>
        <w:pStyle w:val="Heading1"/>
        <w:rPr>
          <w:color w:val="auto"/>
          <w:sz w:val="40"/>
        </w:rPr>
      </w:pPr>
      <w:r w:rsidRPr="00546106">
        <w:rPr>
          <w:color w:val="auto"/>
          <w:sz w:val="40"/>
        </w:rPr>
        <w:t>Practicalities</w:t>
      </w:r>
    </w:p>
    <w:p w:rsidR="00683133" w:rsidRPr="00272BDD" w:rsidRDefault="00683133" w:rsidP="00546106">
      <w:pPr>
        <w:pStyle w:val="Heading2"/>
        <w:spacing w:before="0"/>
        <w:ind w:left="720"/>
        <w:rPr>
          <w:b w:val="0"/>
          <w:color w:val="auto"/>
          <w:sz w:val="36"/>
        </w:rPr>
      </w:pPr>
      <w:r w:rsidRPr="00272BDD">
        <w:rPr>
          <w:b w:val="0"/>
          <w:color w:val="auto"/>
          <w:sz w:val="36"/>
        </w:rPr>
        <w:t>Legacy is critical</w:t>
      </w:r>
    </w:p>
    <w:p w:rsidR="00546106" w:rsidRDefault="00683133" w:rsidP="00546106">
      <w:pPr>
        <w:spacing w:after="0" w:line="240" w:lineRule="auto"/>
        <w:ind w:left="1440"/>
        <w:rPr>
          <w:sz w:val="28"/>
          <w:szCs w:val="28"/>
        </w:rPr>
      </w:pPr>
      <w:r w:rsidRPr="00546106">
        <w:rPr>
          <w:sz w:val="28"/>
          <w:szCs w:val="28"/>
        </w:rPr>
        <w:t xml:space="preserve">20% technology (the easy bit), </w:t>
      </w:r>
    </w:p>
    <w:p w:rsidR="00683133" w:rsidRPr="00546106" w:rsidRDefault="00683133" w:rsidP="00546106">
      <w:pPr>
        <w:spacing w:after="0" w:line="240" w:lineRule="auto"/>
        <w:ind w:left="1440"/>
        <w:rPr>
          <w:sz w:val="28"/>
          <w:szCs w:val="28"/>
        </w:rPr>
      </w:pPr>
      <w:r w:rsidRPr="00546106">
        <w:rPr>
          <w:sz w:val="28"/>
          <w:szCs w:val="28"/>
        </w:rPr>
        <w:t>80% changing business process (hard)</w:t>
      </w:r>
    </w:p>
    <w:p w:rsidR="00272BDD" w:rsidRPr="00546106" w:rsidRDefault="00272BDD" w:rsidP="00546106">
      <w:pPr>
        <w:spacing w:after="0" w:line="240" w:lineRule="auto"/>
        <w:ind w:left="1440"/>
        <w:rPr>
          <w:sz w:val="28"/>
          <w:szCs w:val="28"/>
        </w:rPr>
      </w:pPr>
      <w:r w:rsidRPr="00546106">
        <w:rPr>
          <w:sz w:val="28"/>
          <w:szCs w:val="28"/>
        </w:rPr>
        <w:t>Need sufficient adoption (critical mass/ tipping points)</w:t>
      </w:r>
    </w:p>
    <w:p w:rsidR="00546106" w:rsidRDefault="00272BDD" w:rsidP="00546106">
      <w:pPr>
        <w:pStyle w:val="Heading2"/>
        <w:spacing w:before="0"/>
        <w:ind w:left="720"/>
        <w:rPr>
          <w:b w:val="0"/>
          <w:color w:val="auto"/>
          <w:sz w:val="36"/>
        </w:rPr>
      </w:pPr>
      <w:r w:rsidRPr="00272BDD">
        <w:rPr>
          <w:b w:val="0"/>
          <w:color w:val="auto"/>
          <w:sz w:val="36"/>
        </w:rPr>
        <w:t xml:space="preserve">Industry </w:t>
      </w:r>
      <w:r w:rsidR="00A875DF" w:rsidRPr="00272BDD">
        <w:rPr>
          <w:b w:val="0"/>
          <w:color w:val="auto"/>
          <w:sz w:val="36"/>
        </w:rPr>
        <w:t>technologically fragmented</w:t>
      </w:r>
      <w:r w:rsidR="00546106">
        <w:rPr>
          <w:b w:val="0"/>
          <w:color w:val="auto"/>
          <w:sz w:val="36"/>
        </w:rPr>
        <w:t xml:space="preserve"> </w:t>
      </w:r>
    </w:p>
    <w:p w:rsidR="00A875DF" w:rsidRPr="00546106" w:rsidRDefault="00546106" w:rsidP="00546106">
      <w:pPr>
        <w:spacing w:after="0" w:line="240" w:lineRule="auto"/>
        <w:ind w:left="1440"/>
        <w:rPr>
          <w:sz w:val="28"/>
          <w:szCs w:val="28"/>
        </w:rPr>
      </w:pPr>
      <w:proofErr w:type="gramStart"/>
      <w:r w:rsidRPr="00546106">
        <w:rPr>
          <w:sz w:val="28"/>
          <w:szCs w:val="28"/>
        </w:rPr>
        <w:t>insufficient</w:t>
      </w:r>
      <w:proofErr w:type="gramEnd"/>
      <w:r w:rsidRPr="00546106">
        <w:rPr>
          <w:sz w:val="28"/>
          <w:szCs w:val="28"/>
        </w:rPr>
        <w:t xml:space="preserve"> standardisation</w:t>
      </w:r>
    </w:p>
    <w:p w:rsidR="00A875DF" w:rsidRPr="00546106" w:rsidRDefault="00683133" w:rsidP="00546106">
      <w:pPr>
        <w:spacing w:after="0" w:line="240" w:lineRule="auto"/>
        <w:ind w:left="1440"/>
        <w:rPr>
          <w:sz w:val="28"/>
          <w:szCs w:val="28"/>
        </w:rPr>
      </w:pPr>
      <w:proofErr w:type="gramStart"/>
      <w:r w:rsidRPr="00546106">
        <w:rPr>
          <w:sz w:val="28"/>
          <w:szCs w:val="28"/>
        </w:rPr>
        <w:t>e.g</w:t>
      </w:r>
      <w:proofErr w:type="gramEnd"/>
      <w:r w:rsidRPr="00546106">
        <w:rPr>
          <w:sz w:val="28"/>
          <w:szCs w:val="28"/>
        </w:rPr>
        <w:t xml:space="preserve">. lack of </w:t>
      </w:r>
      <w:r w:rsidR="00A875DF" w:rsidRPr="00546106">
        <w:rPr>
          <w:sz w:val="28"/>
          <w:szCs w:val="28"/>
        </w:rPr>
        <w:t>Identifiers (LEIs at last, security identifiers not yet, retail nowhere)</w:t>
      </w:r>
    </w:p>
    <w:p w:rsidR="00683133" w:rsidRPr="00546106" w:rsidRDefault="00683133" w:rsidP="00546106">
      <w:pPr>
        <w:spacing w:after="0" w:line="240" w:lineRule="auto"/>
        <w:ind w:left="1440"/>
        <w:rPr>
          <w:sz w:val="28"/>
          <w:szCs w:val="28"/>
        </w:rPr>
      </w:pPr>
      <w:r w:rsidRPr="00546106">
        <w:rPr>
          <w:sz w:val="28"/>
          <w:szCs w:val="28"/>
        </w:rPr>
        <w:t>Internal Data a patchwork of approaches</w:t>
      </w:r>
    </w:p>
    <w:p w:rsidR="00A875DF" w:rsidRPr="00272BDD" w:rsidRDefault="00A875DF" w:rsidP="00546106">
      <w:pPr>
        <w:pStyle w:val="Heading2"/>
        <w:spacing w:before="0"/>
        <w:ind w:left="720"/>
        <w:rPr>
          <w:b w:val="0"/>
          <w:color w:val="auto"/>
          <w:sz w:val="36"/>
        </w:rPr>
      </w:pPr>
      <w:proofErr w:type="spellStart"/>
      <w:r w:rsidRPr="00272BDD">
        <w:rPr>
          <w:b w:val="0"/>
          <w:color w:val="auto"/>
          <w:sz w:val="36"/>
        </w:rPr>
        <w:t>Footdragging</w:t>
      </w:r>
      <w:proofErr w:type="spellEnd"/>
      <w:r w:rsidRPr="00272BDD">
        <w:rPr>
          <w:b w:val="0"/>
          <w:color w:val="auto"/>
          <w:sz w:val="36"/>
        </w:rPr>
        <w:t>/ Resistance from incumbents</w:t>
      </w:r>
    </w:p>
    <w:p w:rsidR="00683133" w:rsidRPr="00546106" w:rsidRDefault="00683133" w:rsidP="00546106">
      <w:pPr>
        <w:spacing w:after="0" w:line="240" w:lineRule="auto"/>
        <w:ind w:left="1440"/>
        <w:rPr>
          <w:sz w:val="28"/>
          <w:szCs w:val="28"/>
        </w:rPr>
      </w:pPr>
      <w:r w:rsidRPr="00546106">
        <w:rPr>
          <w:sz w:val="28"/>
          <w:szCs w:val="28"/>
        </w:rPr>
        <w:t>Interim – running old and new – is costly</w:t>
      </w:r>
    </w:p>
    <w:p w:rsidR="00683133" w:rsidRPr="00546106" w:rsidRDefault="00683133" w:rsidP="00546106">
      <w:pPr>
        <w:spacing w:after="0" w:line="240" w:lineRule="auto"/>
        <w:ind w:left="1440"/>
        <w:rPr>
          <w:sz w:val="28"/>
          <w:szCs w:val="28"/>
        </w:rPr>
      </w:pPr>
      <w:r w:rsidRPr="00546106">
        <w:rPr>
          <w:sz w:val="28"/>
          <w:szCs w:val="28"/>
        </w:rPr>
        <w:t>Some valuable franchises, overcoming fragmentation, threatened</w:t>
      </w:r>
    </w:p>
    <w:p w:rsidR="00683133" w:rsidRDefault="00683133" w:rsidP="00546106">
      <w:pPr>
        <w:pStyle w:val="Heading2"/>
        <w:spacing w:before="0"/>
        <w:ind w:left="720"/>
        <w:rPr>
          <w:b w:val="0"/>
          <w:color w:val="auto"/>
          <w:sz w:val="36"/>
        </w:rPr>
      </w:pPr>
      <w:r w:rsidRPr="00272BDD">
        <w:rPr>
          <w:b w:val="0"/>
          <w:color w:val="auto"/>
          <w:sz w:val="36"/>
        </w:rPr>
        <w:t xml:space="preserve">Case study: block chain </w:t>
      </w:r>
      <w:r w:rsidR="000244EA">
        <w:rPr>
          <w:b w:val="0"/>
          <w:color w:val="auto"/>
          <w:sz w:val="36"/>
        </w:rPr>
        <w:t xml:space="preserve">in </w:t>
      </w:r>
      <w:r w:rsidRPr="00272BDD">
        <w:rPr>
          <w:b w:val="0"/>
          <w:color w:val="auto"/>
          <w:sz w:val="36"/>
        </w:rPr>
        <w:t>securities settlement</w:t>
      </w:r>
    </w:p>
    <w:p w:rsidR="000244EA" w:rsidRPr="000244EA" w:rsidRDefault="000244EA" w:rsidP="000244EA">
      <w:pPr>
        <w:ind w:left="1440"/>
        <w:rPr>
          <w:sz w:val="28"/>
          <w:szCs w:val="28"/>
        </w:rPr>
      </w:pPr>
      <w:r>
        <w:rPr>
          <w:sz w:val="28"/>
          <w:szCs w:val="28"/>
        </w:rPr>
        <w:t>Paper for SWIFT institute appearing later this month</w:t>
      </w:r>
    </w:p>
    <w:p w:rsidR="00760FE8" w:rsidRPr="00546106" w:rsidRDefault="00760FE8" w:rsidP="00760FE8">
      <w:pPr>
        <w:pStyle w:val="Heading1"/>
        <w:rPr>
          <w:color w:val="auto"/>
          <w:sz w:val="40"/>
        </w:rPr>
      </w:pPr>
      <w:r w:rsidRPr="00546106">
        <w:rPr>
          <w:color w:val="auto"/>
          <w:sz w:val="40"/>
        </w:rPr>
        <w:t>Policy</w:t>
      </w:r>
    </w:p>
    <w:p w:rsidR="00683133" w:rsidRPr="00272BDD" w:rsidRDefault="000244EA" w:rsidP="00546106">
      <w:pPr>
        <w:pStyle w:val="Heading2"/>
        <w:spacing w:before="0"/>
        <w:ind w:left="720"/>
        <w:rPr>
          <w:b w:val="0"/>
          <w:color w:val="auto"/>
          <w:sz w:val="36"/>
        </w:rPr>
      </w:pPr>
      <w:r>
        <w:rPr>
          <w:b w:val="0"/>
          <w:color w:val="auto"/>
          <w:sz w:val="36"/>
        </w:rPr>
        <w:t>C</w:t>
      </w:r>
      <w:r w:rsidR="00683133" w:rsidRPr="00272BDD">
        <w:rPr>
          <w:b w:val="0"/>
          <w:color w:val="auto"/>
          <w:sz w:val="36"/>
        </w:rPr>
        <w:t>entral banks, finance ministries and regulators</w:t>
      </w:r>
    </w:p>
    <w:p w:rsidR="00272BDD" w:rsidRPr="00272BDD" w:rsidRDefault="000244EA" w:rsidP="00546106">
      <w:pPr>
        <w:pStyle w:val="Heading2"/>
        <w:spacing w:before="0"/>
        <w:ind w:left="720"/>
        <w:rPr>
          <w:b w:val="0"/>
          <w:color w:val="auto"/>
          <w:sz w:val="36"/>
        </w:rPr>
      </w:pPr>
      <w:r>
        <w:rPr>
          <w:b w:val="0"/>
          <w:color w:val="auto"/>
          <w:sz w:val="36"/>
        </w:rPr>
        <w:t>What</w:t>
      </w:r>
      <w:r w:rsidR="00272BDD" w:rsidRPr="00272BDD">
        <w:rPr>
          <w:b w:val="0"/>
          <w:color w:val="auto"/>
          <w:sz w:val="36"/>
        </w:rPr>
        <w:t xml:space="preserve"> steps to take? </w:t>
      </w:r>
    </w:p>
    <w:p w:rsidR="00272BDD" w:rsidRPr="00546106" w:rsidRDefault="000244EA" w:rsidP="00546106">
      <w:pPr>
        <w:spacing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>Key may be</w:t>
      </w:r>
      <w:r w:rsidR="00272BDD" w:rsidRPr="00546106">
        <w:rPr>
          <w:sz w:val="28"/>
          <w:szCs w:val="28"/>
        </w:rPr>
        <w:t xml:space="preserve"> direct transactions in central bank money </w:t>
      </w:r>
    </w:p>
    <w:p w:rsidR="00272BDD" w:rsidRPr="00546106" w:rsidRDefault="00272BDD" w:rsidP="00546106">
      <w:pPr>
        <w:spacing w:after="0" w:line="240" w:lineRule="auto"/>
        <w:ind w:left="1440"/>
        <w:rPr>
          <w:sz w:val="28"/>
          <w:szCs w:val="28"/>
        </w:rPr>
      </w:pPr>
      <w:r w:rsidRPr="00546106">
        <w:rPr>
          <w:sz w:val="28"/>
          <w:szCs w:val="28"/>
        </w:rPr>
        <w:t>Another is promoting financial data standards</w:t>
      </w:r>
      <w:r w:rsidR="00546106">
        <w:rPr>
          <w:sz w:val="28"/>
          <w:szCs w:val="28"/>
        </w:rPr>
        <w:t xml:space="preserve"> e.g. through</w:t>
      </w:r>
    </w:p>
    <w:p w:rsidR="00272BDD" w:rsidRPr="00546106" w:rsidRDefault="00272BDD" w:rsidP="00546106">
      <w:pPr>
        <w:spacing w:after="0" w:line="240" w:lineRule="auto"/>
        <w:ind w:left="1440"/>
        <w:rPr>
          <w:sz w:val="28"/>
          <w:szCs w:val="28"/>
        </w:rPr>
      </w:pPr>
      <w:r w:rsidRPr="00546106">
        <w:rPr>
          <w:sz w:val="28"/>
          <w:szCs w:val="28"/>
        </w:rPr>
        <w:t>SEFDA Single European Financial Data Area</w:t>
      </w:r>
    </w:p>
    <w:p w:rsidR="00272BDD" w:rsidRPr="00272BDD" w:rsidRDefault="00272BDD" w:rsidP="00546106">
      <w:pPr>
        <w:pStyle w:val="Heading2"/>
        <w:spacing w:before="0"/>
        <w:ind w:left="720"/>
        <w:rPr>
          <w:b w:val="0"/>
          <w:color w:val="auto"/>
          <w:sz w:val="36"/>
        </w:rPr>
      </w:pPr>
      <w:r w:rsidRPr="00272BDD">
        <w:rPr>
          <w:b w:val="0"/>
          <w:color w:val="auto"/>
          <w:sz w:val="36"/>
        </w:rPr>
        <w:t xml:space="preserve">A broader stakeholder view of corporate governance </w:t>
      </w:r>
    </w:p>
    <w:p w:rsidR="00272BDD" w:rsidRDefault="00546106" w:rsidP="00546106">
      <w:pPr>
        <w:spacing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>I</w:t>
      </w:r>
      <w:r w:rsidR="00272BDD" w:rsidRPr="00546106">
        <w:rPr>
          <w:sz w:val="28"/>
          <w:szCs w:val="28"/>
        </w:rPr>
        <w:t>f financial institutions are infrastructures, is standard corporate legal form up</w:t>
      </w:r>
      <w:r w:rsidR="000244EA">
        <w:rPr>
          <w:sz w:val="28"/>
          <w:szCs w:val="28"/>
        </w:rPr>
        <w:t xml:space="preserve"> </w:t>
      </w:r>
      <w:r w:rsidR="00272BDD" w:rsidRPr="00546106">
        <w:rPr>
          <w:sz w:val="28"/>
          <w:szCs w:val="28"/>
        </w:rPr>
        <w:t>to the job?</w:t>
      </w:r>
    </w:p>
    <w:p w:rsidR="000244EA" w:rsidRDefault="000244EA" w:rsidP="00546106">
      <w:pPr>
        <w:spacing w:after="0" w:line="240" w:lineRule="auto"/>
        <w:ind w:left="1440"/>
        <w:rPr>
          <w:sz w:val="28"/>
          <w:szCs w:val="28"/>
        </w:rPr>
      </w:pPr>
    </w:p>
    <w:p w:rsidR="000244EA" w:rsidRPr="00546106" w:rsidRDefault="000244EA" w:rsidP="000244E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For further discussion, with an emphasis on Europe and financial data, see </w:t>
      </w:r>
      <w:hyperlink r:id="rId4" w:history="1">
        <w:r w:rsidRPr="00A65EEB">
          <w:rPr>
            <w:rStyle w:val="Hyperlink"/>
            <w:sz w:val="28"/>
            <w:szCs w:val="28"/>
          </w:rPr>
          <w:t>https://www.ceps.eu/system/files/ECRI%20Commentary%20No%2017%20Alistair%20Milne%20Financial%20Technology_0.pdf</w:t>
        </w:r>
      </w:hyperlink>
      <w:r>
        <w:rPr>
          <w:sz w:val="28"/>
          <w:szCs w:val="28"/>
        </w:rPr>
        <w:t xml:space="preserve"> </w:t>
      </w:r>
    </w:p>
    <w:sectPr w:rsidR="000244EA" w:rsidRPr="00546106" w:rsidSect="00E316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1"/>
  <w:proofState w:spelling="clean" w:grammar="clean"/>
  <w:defaultTabStop w:val="720"/>
  <w:characterSpacingControl w:val="doNotCompress"/>
  <w:compat/>
  <w:rsids>
    <w:rsidRoot w:val="00760FE8"/>
    <w:rsid w:val="000244EA"/>
    <w:rsid w:val="000260D0"/>
    <w:rsid w:val="00032C17"/>
    <w:rsid w:val="000427DC"/>
    <w:rsid w:val="000516B9"/>
    <w:rsid w:val="000730B7"/>
    <w:rsid w:val="00073E24"/>
    <w:rsid w:val="00073ECB"/>
    <w:rsid w:val="000847D9"/>
    <w:rsid w:val="00085487"/>
    <w:rsid w:val="000A1403"/>
    <w:rsid w:val="000B6750"/>
    <w:rsid w:val="000C1861"/>
    <w:rsid w:val="000C2F53"/>
    <w:rsid w:val="000E3559"/>
    <w:rsid w:val="000F0759"/>
    <w:rsid w:val="00100A1A"/>
    <w:rsid w:val="00105957"/>
    <w:rsid w:val="001114DF"/>
    <w:rsid w:val="0012518A"/>
    <w:rsid w:val="001303A9"/>
    <w:rsid w:val="00132B42"/>
    <w:rsid w:val="00134068"/>
    <w:rsid w:val="001345E4"/>
    <w:rsid w:val="001427C6"/>
    <w:rsid w:val="00151D87"/>
    <w:rsid w:val="001766F5"/>
    <w:rsid w:val="001878DA"/>
    <w:rsid w:val="001A1369"/>
    <w:rsid w:val="001B47E6"/>
    <w:rsid w:val="001B576F"/>
    <w:rsid w:val="001B7411"/>
    <w:rsid w:val="001C6273"/>
    <w:rsid w:val="001D1430"/>
    <w:rsid w:val="001D183E"/>
    <w:rsid w:val="001D2691"/>
    <w:rsid w:val="001D71AA"/>
    <w:rsid w:val="001E7743"/>
    <w:rsid w:val="001F4AE1"/>
    <w:rsid w:val="001F6D66"/>
    <w:rsid w:val="002006D1"/>
    <w:rsid w:val="00201111"/>
    <w:rsid w:val="00202E70"/>
    <w:rsid w:val="00230684"/>
    <w:rsid w:val="00251412"/>
    <w:rsid w:val="00264763"/>
    <w:rsid w:val="00272BDD"/>
    <w:rsid w:val="00282121"/>
    <w:rsid w:val="00283C6B"/>
    <w:rsid w:val="00284EFE"/>
    <w:rsid w:val="00287401"/>
    <w:rsid w:val="002A7FBB"/>
    <w:rsid w:val="002B437F"/>
    <w:rsid w:val="002B6480"/>
    <w:rsid w:val="002C2441"/>
    <w:rsid w:val="002C2DA1"/>
    <w:rsid w:val="002D5957"/>
    <w:rsid w:val="002F1BF7"/>
    <w:rsid w:val="002F52AA"/>
    <w:rsid w:val="00301C18"/>
    <w:rsid w:val="00301CB1"/>
    <w:rsid w:val="00306EF9"/>
    <w:rsid w:val="00311217"/>
    <w:rsid w:val="0032127A"/>
    <w:rsid w:val="00331733"/>
    <w:rsid w:val="00335ECA"/>
    <w:rsid w:val="00356741"/>
    <w:rsid w:val="003736A3"/>
    <w:rsid w:val="00393D82"/>
    <w:rsid w:val="003A0228"/>
    <w:rsid w:val="003A0714"/>
    <w:rsid w:val="003B7A30"/>
    <w:rsid w:val="003C0273"/>
    <w:rsid w:val="003C0BEC"/>
    <w:rsid w:val="003C2BC3"/>
    <w:rsid w:val="003E7F58"/>
    <w:rsid w:val="003F42C1"/>
    <w:rsid w:val="00431245"/>
    <w:rsid w:val="00432FE9"/>
    <w:rsid w:val="0044126F"/>
    <w:rsid w:val="00443122"/>
    <w:rsid w:val="00453A2A"/>
    <w:rsid w:val="004624F7"/>
    <w:rsid w:val="00462C88"/>
    <w:rsid w:val="004811CE"/>
    <w:rsid w:val="004A6461"/>
    <w:rsid w:val="004B2DA4"/>
    <w:rsid w:val="004C6DCF"/>
    <w:rsid w:val="004D1800"/>
    <w:rsid w:val="004D272E"/>
    <w:rsid w:val="004D2A23"/>
    <w:rsid w:val="004E299A"/>
    <w:rsid w:val="004F02B8"/>
    <w:rsid w:val="00501E05"/>
    <w:rsid w:val="00506242"/>
    <w:rsid w:val="00507782"/>
    <w:rsid w:val="00523A8E"/>
    <w:rsid w:val="005304BF"/>
    <w:rsid w:val="00540170"/>
    <w:rsid w:val="00540D91"/>
    <w:rsid w:val="00546106"/>
    <w:rsid w:val="0054621E"/>
    <w:rsid w:val="00554C20"/>
    <w:rsid w:val="00560B5A"/>
    <w:rsid w:val="00567EE7"/>
    <w:rsid w:val="00570D3C"/>
    <w:rsid w:val="00580AC0"/>
    <w:rsid w:val="0058272A"/>
    <w:rsid w:val="005B4463"/>
    <w:rsid w:val="005E0F49"/>
    <w:rsid w:val="005E27C5"/>
    <w:rsid w:val="00602DF8"/>
    <w:rsid w:val="00607C0D"/>
    <w:rsid w:val="00630CD1"/>
    <w:rsid w:val="006338C7"/>
    <w:rsid w:val="00633E32"/>
    <w:rsid w:val="0063461B"/>
    <w:rsid w:val="0063777A"/>
    <w:rsid w:val="006776AE"/>
    <w:rsid w:val="00683133"/>
    <w:rsid w:val="0068396C"/>
    <w:rsid w:val="006841E0"/>
    <w:rsid w:val="00684DAB"/>
    <w:rsid w:val="0068781E"/>
    <w:rsid w:val="00694EB5"/>
    <w:rsid w:val="00697D96"/>
    <w:rsid w:val="006A56DD"/>
    <w:rsid w:val="006B46A2"/>
    <w:rsid w:val="006C56B0"/>
    <w:rsid w:val="006D50EF"/>
    <w:rsid w:val="006E0DC9"/>
    <w:rsid w:val="006F2DC5"/>
    <w:rsid w:val="007100CE"/>
    <w:rsid w:val="00724164"/>
    <w:rsid w:val="007340B5"/>
    <w:rsid w:val="00746A5F"/>
    <w:rsid w:val="00760FE8"/>
    <w:rsid w:val="007769F8"/>
    <w:rsid w:val="00781296"/>
    <w:rsid w:val="00781343"/>
    <w:rsid w:val="007B0E08"/>
    <w:rsid w:val="007E71E0"/>
    <w:rsid w:val="007F1684"/>
    <w:rsid w:val="007F31C9"/>
    <w:rsid w:val="007F439C"/>
    <w:rsid w:val="00802B9A"/>
    <w:rsid w:val="00810624"/>
    <w:rsid w:val="00846517"/>
    <w:rsid w:val="00850261"/>
    <w:rsid w:val="0085695C"/>
    <w:rsid w:val="00872D0D"/>
    <w:rsid w:val="0089726A"/>
    <w:rsid w:val="008A0E15"/>
    <w:rsid w:val="008A1118"/>
    <w:rsid w:val="008B1256"/>
    <w:rsid w:val="008B1B80"/>
    <w:rsid w:val="008B40B1"/>
    <w:rsid w:val="008C0417"/>
    <w:rsid w:val="008C1C6D"/>
    <w:rsid w:val="008D0594"/>
    <w:rsid w:val="008D3840"/>
    <w:rsid w:val="008E248C"/>
    <w:rsid w:val="00902CDA"/>
    <w:rsid w:val="0093019A"/>
    <w:rsid w:val="00935037"/>
    <w:rsid w:val="00936D3E"/>
    <w:rsid w:val="0093716B"/>
    <w:rsid w:val="00940409"/>
    <w:rsid w:val="00945624"/>
    <w:rsid w:val="0094587A"/>
    <w:rsid w:val="0094765E"/>
    <w:rsid w:val="0095360B"/>
    <w:rsid w:val="00954321"/>
    <w:rsid w:val="009810EE"/>
    <w:rsid w:val="009839F4"/>
    <w:rsid w:val="009B6815"/>
    <w:rsid w:val="009B6C8C"/>
    <w:rsid w:val="009B7A7B"/>
    <w:rsid w:val="009F4EE2"/>
    <w:rsid w:val="009F5BB9"/>
    <w:rsid w:val="009F627D"/>
    <w:rsid w:val="00A022F6"/>
    <w:rsid w:val="00A031F7"/>
    <w:rsid w:val="00A12C33"/>
    <w:rsid w:val="00A16019"/>
    <w:rsid w:val="00A2221D"/>
    <w:rsid w:val="00A35D87"/>
    <w:rsid w:val="00A45080"/>
    <w:rsid w:val="00A5104E"/>
    <w:rsid w:val="00A60AD4"/>
    <w:rsid w:val="00A814B0"/>
    <w:rsid w:val="00A84E9A"/>
    <w:rsid w:val="00A86B8F"/>
    <w:rsid w:val="00A875DF"/>
    <w:rsid w:val="00AB1AFE"/>
    <w:rsid w:val="00AC796B"/>
    <w:rsid w:val="00AD1315"/>
    <w:rsid w:val="00AD7DE4"/>
    <w:rsid w:val="00AE1E4F"/>
    <w:rsid w:val="00AE6A29"/>
    <w:rsid w:val="00AF0113"/>
    <w:rsid w:val="00B108A5"/>
    <w:rsid w:val="00B12333"/>
    <w:rsid w:val="00B14A71"/>
    <w:rsid w:val="00B2688B"/>
    <w:rsid w:val="00B2745F"/>
    <w:rsid w:val="00B34003"/>
    <w:rsid w:val="00B46E3A"/>
    <w:rsid w:val="00B51A9D"/>
    <w:rsid w:val="00B5672F"/>
    <w:rsid w:val="00B56CA1"/>
    <w:rsid w:val="00B57F4D"/>
    <w:rsid w:val="00B735EF"/>
    <w:rsid w:val="00B76561"/>
    <w:rsid w:val="00B813FA"/>
    <w:rsid w:val="00BA5DDA"/>
    <w:rsid w:val="00BA729F"/>
    <w:rsid w:val="00BB4CA1"/>
    <w:rsid w:val="00BC6072"/>
    <w:rsid w:val="00BC723E"/>
    <w:rsid w:val="00BE3BEB"/>
    <w:rsid w:val="00C23952"/>
    <w:rsid w:val="00C26FA0"/>
    <w:rsid w:val="00C34372"/>
    <w:rsid w:val="00C374EE"/>
    <w:rsid w:val="00C415C4"/>
    <w:rsid w:val="00C92059"/>
    <w:rsid w:val="00CA021D"/>
    <w:rsid w:val="00CA78C4"/>
    <w:rsid w:val="00CB5422"/>
    <w:rsid w:val="00CC4425"/>
    <w:rsid w:val="00CC4522"/>
    <w:rsid w:val="00CE35CC"/>
    <w:rsid w:val="00CE43C3"/>
    <w:rsid w:val="00D04C6F"/>
    <w:rsid w:val="00D22486"/>
    <w:rsid w:val="00D25284"/>
    <w:rsid w:val="00D45908"/>
    <w:rsid w:val="00D47A7A"/>
    <w:rsid w:val="00D65520"/>
    <w:rsid w:val="00D824C7"/>
    <w:rsid w:val="00D936CE"/>
    <w:rsid w:val="00D95957"/>
    <w:rsid w:val="00DD53A9"/>
    <w:rsid w:val="00DF2772"/>
    <w:rsid w:val="00DF38C4"/>
    <w:rsid w:val="00DF438F"/>
    <w:rsid w:val="00E0399C"/>
    <w:rsid w:val="00E03A30"/>
    <w:rsid w:val="00E0602A"/>
    <w:rsid w:val="00E24FEA"/>
    <w:rsid w:val="00E25239"/>
    <w:rsid w:val="00E316E5"/>
    <w:rsid w:val="00E43D92"/>
    <w:rsid w:val="00E72888"/>
    <w:rsid w:val="00EA3D72"/>
    <w:rsid w:val="00EA4F60"/>
    <w:rsid w:val="00EB08C7"/>
    <w:rsid w:val="00EB08D2"/>
    <w:rsid w:val="00ED115A"/>
    <w:rsid w:val="00EE64B7"/>
    <w:rsid w:val="00EF64AE"/>
    <w:rsid w:val="00F1066B"/>
    <w:rsid w:val="00F34273"/>
    <w:rsid w:val="00F644C8"/>
    <w:rsid w:val="00F666BC"/>
    <w:rsid w:val="00F764D2"/>
    <w:rsid w:val="00F817B6"/>
    <w:rsid w:val="00F874B9"/>
    <w:rsid w:val="00F87B70"/>
    <w:rsid w:val="00F97BB8"/>
    <w:rsid w:val="00FD50EB"/>
    <w:rsid w:val="00FE4535"/>
    <w:rsid w:val="00FE6DF2"/>
    <w:rsid w:val="00FF6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6E5"/>
  </w:style>
  <w:style w:type="paragraph" w:styleId="Heading1">
    <w:name w:val="heading 1"/>
    <w:basedOn w:val="Normal"/>
    <w:next w:val="Normal"/>
    <w:link w:val="Heading1Char"/>
    <w:uiPriority w:val="9"/>
    <w:qFormat/>
    <w:rsid w:val="00760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0F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74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0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760FE8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760FE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60F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0FE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60F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0F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60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741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0244E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eps.eu/system/files/ECRI%20Commentary%20No%2017%20Alistair%20Milne%20Financial%20Technology_0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Alistair</dc:creator>
  <cp:lastModifiedBy>Alistair</cp:lastModifiedBy>
  <cp:revision>3</cp:revision>
  <dcterms:created xsi:type="dcterms:W3CDTF">2016-02-27T09:04:00Z</dcterms:created>
  <dcterms:modified xsi:type="dcterms:W3CDTF">2016-02-27T10:57:00Z</dcterms:modified>
</cp:coreProperties>
</file>